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0519" w:type="dxa"/>
        <w:tblInd w:w="-426"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2553"/>
        <w:gridCol w:w="2551"/>
        <w:gridCol w:w="1862"/>
        <w:gridCol w:w="831"/>
        <w:gridCol w:w="2552"/>
        <w:gridCol w:w="170"/>
      </w:tblGrid>
      <w:tr w:rsidR="005D451F" w:rsidRPr="002F1201" w14:paraId="66B61A49" w14:textId="77777777" w:rsidTr="0045373E">
        <w:trPr>
          <w:trHeight w:val="1128"/>
        </w:trPr>
        <w:tc>
          <w:tcPr>
            <w:tcW w:w="6966" w:type="dxa"/>
            <w:gridSpan w:val="3"/>
            <w:tcBorders>
              <w:top w:val="nil"/>
              <w:left w:val="nil"/>
              <w:bottom w:val="nil"/>
              <w:right w:val="nil"/>
            </w:tcBorders>
            <w:vAlign w:val="center"/>
          </w:tcPr>
          <w:p w14:paraId="3BE41D5E" w14:textId="23010DD6" w:rsidR="005D451F" w:rsidRPr="002F1201" w:rsidRDefault="00390B6D" w:rsidP="006936FE">
            <w:pPr>
              <w:ind w:left="-111"/>
              <w:rPr>
                <w:rFonts w:asciiTheme="minorHAnsi" w:hAnsiTheme="minorHAnsi"/>
                <w:sz w:val="38"/>
                <w:szCs w:val="38"/>
                <w:lang w:val="en-GB"/>
              </w:rPr>
            </w:pPr>
            <w:r w:rsidRPr="002F1201">
              <w:rPr>
                <w:rFonts w:asciiTheme="minorHAnsi" w:hAnsiTheme="minorHAnsi"/>
                <w:color w:val="404040" w:themeColor="text1" w:themeTint="BF"/>
                <w:sz w:val="38"/>
                <w:szCs w:val="38"/>
                <w:lang w:val="en-GB"/>
              </w:rPr>
              <w:t>VALUATION ORDER FORM</w:t>
            </w:r>
          </w:p>
        </w:tc>
        <w:tc>
          <w:tcPr>
            <w:tcW w:w="3553" w:type="dxa"/>
            <w:gridSpan w:val="3"/>
            <w:tcBorders>
              <w:top w:val="nil"/>
              <w:left w:val="nil"/>
              <w:bottom w:val="nil"/>
              <w:right w:val="nil"/>
            </w:tcBorders>
            <w:vAlign w:val="center"/>
          </w:tcPr>
          <w:p w14:paraId="27D9B9B5" w14:textId="290C385C" w:rsidR="005D451F" w:rsidRPr="002F1201" w:rsidRDefault="005D451F" w:rsidP="005D451F">
            <w:pPr>
              <w:jc w:val="right"/>
              <w:rPr>
                <w:rFonts w:asciiTheme="minorHAnsi" w:hAnsiTheme="minorHAnsi"/>
                <w:b/>
                <w:sz w:val="34"/>
                <w:szCs w:val="34"/>
                <w:lang w:val="en-GB"/>
              </w:rPr>
            </w:pPr>
            <w:r w:rsidRPr="002F1201">
              <w:rPr>
                <w:rFonts w:asciiTheme="minorHAnsi" w:hAnsiTheme="minorHAnsi"/>
                <w:b/>
                <w:noProof/>
                <w:sz w:val="34"/>
                <w:szCs w:val="34"/>
                <w:lang w:val="en-GB"/>
              </w:rPr>
              <w:drawing>
                <wp:inline distT="0" distB="0" distL="0" distR="0" wp14:anchorId="54DAD9D8" wp14:editId="4FD29DFF">
                  <wp:extent cx="897856" cy="779309"/>
                  <wp:effectExtent l="0" t="0" r="0" b="0"/>
                  <wp:docPr id="4" name="Obraz 4" descr="W:\DOKUMENTY WEWNĘTRZNE\TEMPLATES\AMRON\AMRON_logotyp\PNG_rgb_AMRON\AMRON_logo_140407_podst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OKUMENTY WEWNĘTRZNE\TEMPLATES\AMRON\AMRON_logotyp\PNG_rgb_AMRON\AMRON_logo_140407_podst_.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0160"/>
                          <a:stretch/>
                        </pic:blipFill>
                        <pic:spPr bwMode="auto">
                          <a:xfrm>
                            <a:off x="0" y="0"/>
                            <a:ext cx="916349" cy="79536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C18E8" w:rsidRPr="002F1201" w14:paraId="7A2341D8" w14:textId="77777777" w:rsidTr="00905BEF">
        <w:trPr>
          <w:gridAfter w:val="1"/>
          <w:wAfter w:w="170" w:type="dxa"/>
          <w:trHeight w:val="430"/>
        </w:trPr>
        <w:tc>
          <w:tcPr>
            <w:tcW w:w="10349" w:type="dxa"/>
            <w:gridSpan w:val="5"/>
            <w:tcBorders>
              <w:top w:val="single" w:sz="4" w:space="0" w:color="auto"/>
            </w:tcBorders>
            <w:shd w:val="clear" w:color="auto" w:fill="F2F2F2" w:themeFill="background1" w:themeFillShade="F2"/>
            <w:vAlign w:val="center"/>
          </w:tcPr>
          <w:p w14:paraId="731B51EF" w14:textId="5E025BA6" w:rsidR="004C18E8" w:rsidRPr="002F1201" w:rsidRDefault="004C18E8" w:rsidP="007973FB">
            <w:pPr>
              <w:rPr>
                <w:rFonts w:asciiTheme="minorHAnsi" w:hAnsiTheme="minorHAnsi"/>
                <w:sz w:val="21"/>
                <w:szCs w:val="21"/>
                <w:lang w:val="en-GB"/>
              </w:rPr>
            </w:pPr>
            <w:r w:rsidRPr="002F1201">
              <w:rPr>
                <w:rFonts w:asciiTheme="minorHAnsi" w:hAnsiTheme="minorHAnsi"/>
                <w:sz w:val="21"/>
                <w:szCs w:val="21"/>
                <w:lang w:val="en-GB"/>
              </w:rPr>
              <w:t xml:space="preserve">1. </w:t>
            </w:r>
            <w:r w:rsidR="00390B6D" w:rsidRPr="002F1201">
              <w:rPr>
                <w:rFonts w:asciiTheme="minorHAnsi" w:hAnsiTheme="minorHAnsi"/>
                <w:sz w:val="21"/>
                <w:szCs w:val="21"/>
                <w:lang w:val="en-GB"/>
              </w:rPr>
              <w:t>TYPE OF THE ORDERED ELABORATION</w:t>
            </w:r>
            <w:r w:rsidRPr="002F1201">
              <w:rPr>
                <w:rFonts w:asciiTheme="minorHAnsi" w:hAnsiTheme="minorHAnsi"/>
                <w:sz w:val="21"/>
                <w:szCs w:val="21"/>
                <w:lang w:val="en-GB"/>
              </w:rPr>
              <w:t>:</w:t>
            </w:r>
          </w:p>
        </w:tc>
      </w:tr>
      <w:tr w:rsidR="004C18E8" w:rsidRPr="002F1201" w14:paraId="3E38D8A8" w14:textId="77777777" w:rsidTr="002F1201">
        <w:trPr>
          <w:gridAfter w:val="1"/>
          <w:wAfter w:w="170" w:type="dxa"/>
          <w:trHeight w:val="417"/>
        </w:trPr>
        <w:tc>
          <w:tcPr>
            <w:tcW w:w="2553" w:type="dxa"/>
            <w:vAlign w:val="center"/>
          </w:tcPr>
          <w:p w14:paraId="35A1FDC5" w14:textId="47241491" w:rsidR="004C18E8" w:rsidRPr="002F1201" w:rsidRDefault="004C18E8" w:rsidP="002F1201">
            <w:pPr>
              <w:ind w:left="195" w:hanging="195"/>
              <w:rPr>
                <w:rFonts w:asciiTheme="minorHAnsi" w:hAnsiTheme="minorHAnsi"/>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valuation report</w:t>
            </w:r>
          </w:p>
        </w:tc>
        <w:tc>
          <w:tcPr>
            <w:tcW w:w="2551" w:type="dxa"/>
            <w:vAlign w:val="center"/>
          </w:tcPr>
          <w:p w14:paraId="2291439D" w14:textId="0D5BDDF0"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photo-inspection of</w:t>
            </w:r>
            <w:r w:rsidR="002F1201" w:rsidRPr="002F1201">
              <w:rPr>
                <w:rFonts w:asciiTheme="minorHAnsi" w:hAnsiTheme="minorHAnsi"/>
                <w:bCs/>
                <w:sz w:val="20"/>
                <w:lang w:val="en-GB"/>
              </w:rPr>
              <w:t> </w:t>
            </w:r>
            <w:r w:rsidR="00390B6D" w:rsidRPr="002F1201">
              <w:rPr>
                <w:rFonts w:asciiTheme="minorHAnsi" w:hAnsiTheme="minorHAnsi"/>
                <w:bCs/>
                <w:sz w:val="20"/>
                <w:lang w:val="en-GB"/>
              </w:rPr>
              <w:t>the property</w:t>
            </w:r>
          </w:p>
        </w:tc>
        <w:tc>
          <w:tcPr>
            <w:tcW w:w="2693" w:type="dxa"/>
            <w:gridSpan w:val="2"/>
            <w:vAlign w:val="center"/>
          </w:tcPr>
          <w:p w14:paraId="39DB97BB" w14:textId="185DF23E" w:rsidR="004C18E8" w:rsidRPr="002F1201" w:rsidRDefault="004C18E8" w:rsidP="002F1201">
            <w:pPr>
              <w:ind w:left="195" w:hanging="195"/>
              <w:rPr>
                <w:rFonts w:asciiTheme="minorHAnsi" w:hAnsiTheme="minorHAnsi"/>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report on investment control</w:t>
            </w:r>
          </w:p>
        </w:tc>
        <w:tc>
          <w:tcPr>
            <w:tcW w:w="2552" w:type="dxa"/>
            <w:vAlign w:val="center"/>
          </w:tcPr>
          <w:p w14:paraId="3858B587" w14:textId="6722F4E3" w:rsidR="004C18E8" w:rsidRPr="002F1201" w:rsidRDefault="004C18E8" w:rsidP="002F1201">
            <w:pPr>
              <w:ind w:left="195" w:hanging="195"/>
              <w:rPr>
                <w:rFonts w:asciiTheme="minorHAnsi" w:hAnsiTheme="minorHAnsi"/>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 xml:space="preserve">simplified inventory </w:t>
            </w:r>
            <w:r w:rsidR="002F1201" w:rsidRPr="002F1201">
              <w:rPr>
                <w:rFonts w:asciiTheme="minorHAnsi" w:hAnsiTheme="minorHAnsi"/>
                <w:bCs/>
                <w:sz w:val="20"/>
                <w:lang w:val="en-GB"/>
              </w:rPr>
              <w:br/>
            </w:r>
            <w:r w:rsidR="00390B6D" w:rsidRPr="002F1201">
              <w:rPr>
                <w:rFonts w:asciiTheme="minorHAnsi" w:hAnsiTheme="minorHAnsi"/>
                <w:bCs/>
                <w:sz w:val="20"/>
                <w:lang w:val="en-GB"/>
              </w:rPr>
              <w:t>of the property</w:t>
            </w:r>
          </w:p>
        </w:tc>
      </w:tr>
      <w:tr w:rsidR="004C18E8" w:rsidRPr="002F1201" w14:paraId="1427A347" w14:textId="77777777" w:rsidTr="00905BEF">
        <w:trPr>
          <w:gridAfter w:val="1"/>
          <w:wAfter w:w="170" w:type="dxa"/>
          <w:trHeight w:val="415"/>
        </w:trPr>
        <w:tc>
          <w:tcPr>
            <w:tcW w:w="10349" w:type="dxa"/>
            <w:gridSpan w:val="5"/>
            <w:shd w:val="clear" w:color="auto" w:fill="F2F2F2" w:themeFill="background1" w:themeFillShade="F2"/>
            <w:vAlign w:val="center"/>
          </w:tcPr>
          <w:p w14:paraId="25DC6BFE" w14:textId="4510A013" w:rsidR="004C18E8" w:rsidRPr="002F1201" w:rsidRDefault="004C18E8" w:rsidP="007973FB">
            <w:pPr>
              <w:rPr>
                <w:rFonts w:asciiTheme="minorHAnsi" w:hAnsiTheme="minorHAnsi"/>
                <w:color w:val="FF0000"/>
                <w:sz w:val="21"/>
                <w:szCs w:val="21"/>
                <w:lang w:val="en-GB"/>
              </w:rPr>
            </w:pPr>
            <w:r w:rsidRPr="002F1201">
              <w:rPr>
                <w:rFonts w:asciiTheme="minorHAnsi" w:hAnsiTheme="minorHAnsi"/>
                <w:sz w:val="21"/>
                <w:szCs w:val="21"/>
                <w:lang w:val="en-GB"/>
              </w:rPr>
              <w:t xml:space="preserve">2. </w:t>
            </w:r>
            <w:r w:rsidR="00390B6D" w:rsidRPr="002F1201">
              <w:rPr>
                <w:rFonts w:asciiTheme="minorHAnsi" w:hAnsiTheme="minorHAnsi"/>
                <w:sz w:val="21"/>
                <w:szCs w:val="21"/>
                <w:lang w:val="en-GB"/>
              </w:rPr>
              <w:t>TYPE OF THE PROPERTY</w:t>
            </w:r>
            <w:r w:rsidRPr="002F1201">
              <w:rPr>
                <w:rFonts w:asciiTheme="minorHAnsi" w:hAnsiTheme="minorHAnsi"/>
                <w:sz w:val="21"/>
                <w:szCs w:val="21"/>
                <w:lang w:val="en-GB"/>
              </w:rPr>
              <w:t xml:space="preserve">: </w:t>
            </w:r>
          </w:p>
        </w:tc>
      </w:tr>
      <w:tr w:rsidR="004C18E8" w:rsidRPr="002F1201" w14:paraId="7ADE753F" w14:textId="77777777" w:rsidTr="002F1201">
        <w:trPr>
          <w:gridAfter w:val="1"/>
          <w:wAfter w:w="170" w:type="dxa"/>
          <w:trHeight w:val="700"/>
        </w:trPr>
        <w:tc>
          <w:tcPr>
            <w:tcW w:w="2553" w:type="dxa"/>
            <w:vAlign w:val="center"/>
          </w:tcPr>
          <w:p w14:paraId="4FAF9084" w14:textId="1E235C30"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undeveloped plot of land</w:t>
            </w:r>
          </w:p>
        </w:tc>
        <w:tc>
          <w:tcPr>
            <w:tcW w:w="2551" w:type="dxa"/>
            <w:vAlign w:val="center"/>
          </w:tcPr>
          <w:p w14:paraId="1D47FADC" w14:textId="07E4425A"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 xml:space="preserve">plot of land developed </w:t>
            </w:r>
            <w:r w:rsidR="002F1201" w:rsidRPr="002F1201">
              <w:rPr>
                <w:rFonts w:asciiTheme="minorHAnsi" w:hAnsiTheme="minorHAnsi"/>
                <w:bCs/>
                <w:sz w:val="20"/>
                <w:lang w:val="en-GB"/>
              </w:rPr>
              <w:br/>
            </w:r>
            <w:r w:rsidR="00390B6D" w:rsidRPr="002F1201">
              <w:rPr>
                <w:rFonts w:asciiTheme="minorHAnsi" w:hAnsiTheme="minorHAnsi"/>
                <w:bCs/>
                <w:sz w:val="20"/>
                <w:lang w:val="en-GB"/>
              </w:rPr>
              <w:t>with a single family house</w:t>
            </w:r>
          </w:p>
        </w:tc>
        <w:tc>
          <w:tcPr>
            <w:tcW w:w="2693" w:type="dxa"/>
            <w:gridSpan w:val="2"/>
            <w:vAlign w:val="center"/>
          </w:tcPr>
          <w:p w14:paraId="6D6F9AC4" w14:textId="22182808"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single family house under construction/ reconstruction</w:t>
            </w:r>
          </w:p>
        </w:tc>
        <w:tc>
          <w:tcPr>
            <w:tcW w:w="2552" w:type="dxa"/>
            <w:vAlign w:val="center"/>
          </w:tcPr>
          <w:p w14:paraId="6D915107" w14:textId="095EC7D5"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single family house under renovation/ finishing process</w:t>
            </w:r>
          </w:p>
        </w:tc>
      </w:tr>
      <w:tr w:rsidR="004C18E8" w:rsidRPr="002F1201" w14:paraId="4F826804" w14:textId="77777777" w:rsidTr="002F1201">
        <w:trPr>
          <w:gridAfter w:val="1"/>
          <w:wAfter w:w="170" w:type="dxa"/>
          <w:trHeight w:val="641"/>
        </w:trPr>
        <w:tc>
          <w:tcPr>
            <w:tcW w:w="2553" w:type="dxa"/>
            <w:vAlign w:val="center"/>
          </w:tcPr>
          <w:p w14:paraId="4344EDE5" w14:textId="07C9D6A5"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building on a plot of land under perpetual usufruct</w:t>
            </w:r>
          </w:p>
        </w:tc>
        <w:tc>
          <w:tcPr>
            <w:tcW w:w="2551" w:type="dxa"/>
            <w:vAlign w:val="center"/>
          </w:tcPr>
          <w:p w14:paraId="46673558" w14:textId="6E6CF3BA"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housing unit (a flat)</w:t>
            </w:r>
          </w:p>
        </w:tc>
        <w:tc>
          <w:tcPr>
            <w:tcW w:w="2693" w:type="dxa"/>
            <w:gridSpan w:val="2"/>
            <w:vAlign w:val="center"/>
          </w:tcPr>
          <w:p w14:paraId="007651EE" w14:textId="65665719"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housing unit under renovation/ finishing process</w:t>
            </w:r>
          </w:p>
        </w:tc>
        <w:tc>
          <w:tcPr>
            <w:tcW w:w="2552" w:type="dxa"/>
            <w:vAlign w:val="center"/>
          </w:tcPr>
          <w:p w14:paraId="5631CC96" w14:textId="1006AE21"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commercial unit</w:t>
            </w:r>
          </w:p>
        </w:tc>
      </w:tr>
      <w:tr w:rsidR="004C18E8" w:rsidRPr="002F1201" w14:paraId="57895806" w14:textId="77777777" w:rsidTr="002F1201">
        <w:trPr>
          <w:gridAfter w:val="1"/>
          <w:wAfter w:w="170" w:type="dxa"/>
          <w:trHeight w:val="325"/>
        </w:trPr>
        <w:tc>
          <w:tcPr>
            <w:tcW w:w="5104" w:type="dxa"/>
            <w:gridSpan w:val="2"/>
            <w:tcBorders>
              <w:bottom w:val="single" w:sz="4" w:space="0" w:color="FFFFFF" w:themeColor="background1"/>
            </w:tcBorders>
            <w:vAlign w:val="center"/>
          </w:tcPr>
          <w:p w14:paraId="58DD385E" w14:textId="2196D5DB"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 xml:space="preserve">commercial real estate – description: </w:t>
            </w:r>
          </w:p>
        </w:tc>
        <w:tc>
          <w:tcPr>
            <w:tcW w:w="5245" w:type="dxa"/>
            <w:gridSpan w:val="3"/>
            <w:tcBorders>
              <w:bottom w:val="single" w:sz="4" w:space="0" w:color="FFFFFF" w:themeColor="background1"/>
            </w:tcBorders>
            <w:vAlign w:val="center"/>
          </w:tcPr>
          <w:p w14:paraId="39C862F6" w14:textId="3B6C4313"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other</w:t>
            </w:r>
            <w:r w:rsidRPr="002F1201">
              <w:rPr>
                <w:rFonts w:asciiTheme="minorHAnsi" w:hAnsiTheme="minorHAnsi"/>
                <w:bCs/>
                <w:sz w:val="20"/>
                <w:lang w:val="en-GB"/>
              </w:rPr>
              <w:t xml:space="preserve"> – </w:t>
            </w:r>
            <w:r w:rsidR="00390B6D" w:rsidRPr="002F1201">
              <w:rPr>
                <w:rFonts w:asciiTheme="minorHAnsi" w:hAnsiTheme="minorHAnsi"/>
                <w:bCs/>
                <w:sz w:val="20"/>
                <w:lang w:val="en-GB"/>
              </w:rPr>
              <w:t>description</w:t>
            </w:r>
            <w:r w:rsidRPr="002F1201">
              <w:rPr>
                <w:rFonts w:asciiTheme="minorHAnsi" w:hAnsiTheme="minorHAnsi"/>
                <w:bCs/>
                <w:sz w:val="20"/>
                <w:lang w:val="en-GB"/>
              </w:rPr>
              <w:t>:</w:t>
            </w:r>
          </w:p>
        </w:tc>
      </w:tr>
      <w:tr w:rsidR="004C18E8" w:rsidRPr="002F1201" w14:paraId="6A1CBC16" w14:textId="77777777" w:rsidTr="002F1201">
        <w:trPr>
          <w:gridAfter w:val="1"/>
          <w:wAfter w:w="170" w:type="dxa"/>
          <w:trHeight w:val="415"/>
        </w:trPr>
        <w:tc>
          <w:tcPr>
            <w:tcW w:w="5104" w:type="dxa"/>
            <w:gridSpan w:val="2"/>
            <w:tcBorders>
              <w:top w:val="single" w:sz="4" w:space="0" w:color="FFFFFF" w:themeColor="background1"/>
            </w:tcBorders>
            <w:vAlign w:val="center"/>
          </w:tcPr>
          <w:p w14:paraId="4B02C428" w14:textId="7519FA91" w:rsidR="004C18E8" w:rsidRPr="002F1201" w:rsidRDefault="004C18E8" w:rsidP="002F1201">
            <w:pPr>
              <w:ind w:left="195" w:hanging="195"/>
              <w:rPr>
                <w:rFonts w:asciiTheme="minorHAnsi" w:hAnsiTheme="minorHAnsi"/>
                <w:bCs/>
                <w:sz w:val="20"/>
                <w:lang w:val="en-GB"/>
              </w:rPr>
            </w:pPr>
          </w:p>
        </w:tc>
        <w:tc>
          <w:tcPr>
            <w:tcW w:w="5245" w:type="dxa"/>
            <w:gridSpan w:val="3"/>
            <w:tcBorders>
              <w:top w:val="single" w:sz="4" w:space="0" w:color="FFFFFF" w:themeColor="background1"/>
            </w:tcBorders>
            <w:vAlign w:val="center"/>
          </w:tcPr>
          <w:p w14:paraId="442C148A" w14:textId="00AE8FCE" w:rsidR="004C18E8" w:rsidRPr="002F1201" w:rsidRDefault="004C18E8" w:rsidP="002F1201">
            <w:pPr>
              <w:ind w:left="195" w:hanging="195"/>
              <w:rPr>
                <w:rFonts w:asciiTheme="minorHAnsi" w:hAnsiTheme="minorHAnsi"/>
                <w:bCs/>
                <w:sz w:val="20"/>
                <w:lang w:val="en-GB"/>
              </w:rPr>
            </w:pPr>
          </w:p>
        </w:tc>
      </w:tr>
      <w:tr w:rsidR="004C18E8" w:rsidRPr="002F1201" w14:paraId="2E5889A1" w14:textId="77777777" w:rsidTr="002F1201">
        <w:trPr>
          <w:gridAfter w:val="1"/>
          <w:wAfter w:w="170" w:type="dxa"/>
          <w:trHeight w:val="433"/>
        </w:trPr>
        <w:tc>
          <w:tcPr>
            <w:tcW w:w="5104" w:type="dxa"/>
            <w:gridSpan w:val="2"/>
            <w:shd w:val="clear" w:color="auto" w:fill="F2F2F2" w:themeFill="background1" w:themeFillShade="F2"/>
            <w:vAlign w:val="center"/>
          </w:tcPr>
          <w:p w14:paraId="6B687C8B" w14:textId="1248D149" w:rsidR="004C18E8" w:rsidRPr="002F1201" w:rsidRDefault="004C18E8" w:rsidP="007973FB">
            <w:pPr>
              <w:rPr>
                <w:rFonts w:asciiTheme="minorHAnsi" w:hAnsiTheme="minorHAnsi"/>
                <w:sz w:val="21"/>
                <w:szCs w:val="21"/>
                <w:lang w:val="en-GB"/>
              </w:rPr>
            </w:pPr>
            <w:r w:rsidRPr="002F1201">
              <w:rPr>
                <w:rFonts w:asciiTheme="minorHAnsi" w:hAnsiTheme="minorHAnsi"/>
                <w:sz w:val="21"/>
                <w:szCs w:val="21"/>
                <w:lang w:val="en-GB"/>
              </w:rPr>
              <w:t xml:space="preserve">3. </w:t>
            </w:r>
            <w:r w:rsidR="00390B6D" w:rsidRPr="002F1201">
              <w:rPr>
                <w:rFonts w:asciiTheme="minorHAnsi" w:hAnsiTheme="minorHAnsi"/>
                <w:sz w:val="21"/>
                <w:szCs w:val="21"/>
                <w:lang w:val="en-GB"/>
              </w:rPr>
              <w:t>CONDITION OF THE PROPERTY</w:t>
            </w:r>
            <w:r w:rsidRPr="002F1201">
              <w:rPr>
                <w:rFonts w:asciiTheme="minorHAnsi" w:hAnsiTheme="minorHAnsi"/>
                <w:sz w:val="21"/>
                <w:szCs w:val="21"/>
                <w:lang w:val="en-GB"/>
              </w:rPr>
              <w:t>:</w:t>
            </w:r>
          </w:p>
        </w:tc>
        <w:tc>
          <w:tcPr>
            <w:tcW w:w="2693" w:type="dxa"/>
            <w:gridSpan w:val="2"/>
            <w:shd w:val="clear" w:color="auto" w:fill="F2F2F2" w:themeFill="background1" w:themeFillShade="F2"/>
            <w:vAlign w:val="center"/>
          </w:tcPr>
          <w:p w14:paraId="227ED78F" w14:textId="4DE4439C" w:rsidR="004C18E8" w:rsidRPr="007421AA" w:rsidRDefault="004C18E8" w:rsidP="007973FB">
            <w:pPr>
              <w:rPr>
                <w:rFonts w:asciiTheme="minorHAnsi" w:hAnsiTheme="minorHAnsi"/>
                <w:sz w:val="21"/>
                <w:szCs w:val="21"/>
                <w:lang w:val="en-GB"/>
              </w:rPr>
            </w:pPr>
            <w:r w:rsidRPr="007421AA">
              <w:rPr>
                <w:rFonts w:asciiTheme="minorHAnsi" w:hAnsiTheme="minorHAnsi"/>
                <w:sz w:val="21"/>
                <w:szCs w:val="21"/>
                <w:lang w:val="en-GB"/>
              </w:rPr>
              <w:t xml:space="preserve">4. </w:t>
            </w:r>
            <w:r w:rsidR="00390B6D" w:rsidRPr="007421AA">
              <w:rPr>
                <w:rFonts w:asciiTheme="minorHAnsi" w:hAnsiTheme="minorHAnsi"/>
                <w:sz w:val="21"/>
                <w:szCs w:val="21"/>
                <w:lang w:val="en-GB"/>
              </w:rPr>
              <w:t>USEFUL FLOOR AREA</w:t>
            </w:r>
            <w:r w:rsidR="007421AA">
              <w:rPr>
                <w:rFonts w:asciiTheme="minorHAnsi" w:hAnsiTheme="minorHAnsi"/>
                <w:sz w:val="21"/>
                <w:szCs w:val="21"/>
                <w:lang w:val="en-GB"/>
              </w:rPr>
              <w:t xml:space="preserve">: </w:t>
            </w:r>
            <w:r w:rsidR="007421AA" w:rsidRPr="007421AA">
              <w:rPr>
                <w:rFonts w:asciiTheme="minorHAnsi" w:hAnsiTheme="minorHAnsi"/>
                <w:sz w:val="18"/>
                <w:szCs w:val="18"/>
                <w:lang w:val="en-GB"/>
              </w:rPr>
              <w:t>(sqm)</w:t>
            </w:r>
          </w:p>
        </w:tc>
        <w:tc>
          <w:tcPr>
            <w:tcW w:w="2552" w:type="dxa"/>
            <w:shd w:val="clear" w:color="auto" w:fill="F2F2F2" w:themeFill="background1" w:themeFillShade="F2"/>
            <w:vAlign w:val="center"/>
          </w:tcPr>
          <w:p w14:paraId="7720548C" w14:textId="75AD396D" w:rsidR="004C18E8" w:rsidRPr="002F1201" w:rsidRDefault="00905BEF" w:rsidP="007973FB">
            <w:pPr>
              <w:rPr>
                <w:rFonts w:asciiTheme="minorHAnsi" w:hAnsiTheme="minorHAnsi"/>
                <w:sz w:val="21"/>
                <w:szCs w:val="21"/>
                <w:lang w:val="en-GB"/>
              </w:rPr>
            </w:pPr>
            <w:r w:rsidRPr="002F1201">
              <w:rPr>
                <w:rFonts w:asciiTheme="minorHAnsi" w:hAnsiTheme="minorHAnsi"/>
                <w:sz w:val="21"/>
                <w:szCs w:val="21"/>
                <w:lang w:val="en-GB"/>
              </w:rPr>
              <w:t xml:space="preserve">5. </w:t>
            </w:r>
            <w:r w:rsidR="00390B6D" w:rsidRPr="002F1201">
              <w:rPr>
                <w:rFonts w:asciiTheme="minorHAnsi" w:hAnsiTheme="minorHAnsi"/>
                <w:sz w:val="21"/>
                <w:szCs w:val="21"/>
                <w:lang w:val="en-GB"/>
              </w:rPr>
              <w:t>CONSTRUCTION YEAR:</w:t>
            </w:r>
            <w:r w:rsidR="00390B6D" w:rsidRPr="002F1201">
              <w:rPr>
                <w:rFonts w:asciiTheme="minorHAnsi" w:hAnsiTheme="minorHAnsi"/>
                <w:sz w:val="21"/>
                <w:szCs w:val="21"/>
                <w:lang w:val="en-GB"/>
              </w:rPr>
              <w:br/>
            </w:r>
            <w:r w:rsidR="00390B6D" w:rsidRPr="002F1201">
              <w:rPr>
                <w:rFonts w:asciiTheme="minorHAnsi" w:hAnsiTheme="minorHAnsi"/>
                <w:sz w:val="18"/>
                <w:szCs w:val="18"/>
                <w:lang w:val="en-GB"/>
              </w:rPr>
              <w:t>(if applicable)</w:t>
            </w:r>
          </w:p>
        </w:tc>
      </w:tr>
      <w:tr w:rsidR="004C18E8" w:rsidRPr="002F1201" w14:paraId="0FCC30A1" w14:textId="77777777" w:rsidTr="002F1201">
        <w:trPr>
          <w:gridAfter w:val="1"/>
          <w:wAfter w:w="170" w:type="dxa"/>
          <w:trHeight w:val="471"/>
        </w:trPr>
        <w:tc>
          <w:tcPr>
            <w:tcW w:w="2553" w:type="dxa"/>
            <w:vAlign w:val="center"/>
          </w:tcPr>
          <w:p w14:paraId="15A4A841" w14:textId="0467D4CA"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in use</w:t>
            </w:r>
            <w:r w:rsidRPr="002F1201">
              <w:rPr>
                <w:rFonts w:asciiTheme="minorHAnsi" w:hAnsiTheme="minorHAnsi"/>
                <w:bCs/>
                <w:sz w:val="20"/>
                <w:lang w:val="en-GB"/>
              </w:rPr>
              <w:t xml:space="preserve"> </w:t>
            </w:r>
          </w:p>
        </w:tc>
        <w:tc>
          <w:tcPr>
            <w:tcW w:w="2551" w:type="dxa"/>
            <w:vAlign w:val="center"/>
          </w:tcPr>
          <w:p w14:paraId="68D77305" w14:textId="63CB1C16" w:rsidR="004C18E8" w:rsidRPr="002F1201" w:rsidRDefault="004C18E8" w:rsidP="002F1201">
            <w:pPr>
              <w:ind w:left="195" w:hanging="195"/>
              <w:rPr>
                <w:rFonts w:asciiTheme="minorHAnsi" w:hAnsiTheme="minorHAnsi"/>
                <w:bCs/>
                <w:sz w:val="20"/>
                <w:lang w:val="en-GB"/>
              </w:rPr>
            </w:pPr>
            <w:r w:rsidRPr="002F1201">
              <w:rPr>
                <w:rFonts w:asciiTheme="minorHAnsi" w:hAnsiTheme="minorHAnsi"/>
                <w:bCs/>
                <w:sz w:val="20"/>
                <w:lang w:val="en-GB"/>
              </w:rPr>
              <w:sym w:font="Symbol" w:char="F0A0"/>
            </w:r>
            <w:r w:rsidRPr="002F1201">
              <w:rPr>
                <w:rFonts w:asciiTheme="minorHAnsi" w:hAnsiTheme="minorHAnsi"/>
                <w:bCs/>
                <w:sz w:val="20"/>
                <w:lang w:val="en-GB"/>
              </w:rPr>
              <w:t xml:space="preserve"> </w:t>
            </w:r>
            <w:r w:rsidR="00390B6D" w:rsidRPr="002F1201">
              <w:rPr>
                <w:rFonts w:asciiTheme="minorHAnsi" w:hAnsiTheme="minorHAnsi"/>
                <w:bCs/>
                <w:sz w:val="20"/>
                <w:lang w:val="en-GB"/>
              </w:rPr>
              <w:t>under construction</w:t>
            </w:r>
          </w:p>
        </w:tc>
        <w:tc>
          <w:tcPr>
            <w:tcW w:w="2693" w:type="dxa"/>
            <w:gridSpan w:val="2"/>
            <w:vAlign w:val="center"/>
          </w:tcPr>
          <w:p w14:paraId="2C646381" w14:textId="5CF942D9" w:rsidR="004C18E8" w:rsidRPr="002F1201" w:rsidRDefault="004C18E8" w:rsidP="007973FB">
            <w:pPr>
              <w:rPr>
                <w:rFonts w:asciiTheme="minorHAnsi" w:hAnsiTheme="minorHAnsi"/>
                <w:sz w:val="20"/>
                <w:lang w:val="en-GB"/>
              </w:rPr>
            </w:pPr>
          </w:p>
        </w:tc>
        <w:tc>
          <w:tcPr>
            <w:tcW w:w="2552" w:type="dxa"/>
            <w:vAlign w:val="center"/>
          </w:tcPr>
          <w:p w14:paraId="224A19CA" w14:textId="783D2675" w:rsidR="004C18E8" w:rsidRPr="002F1201" w:rsidRDefault="004C18E8" w:rsidP="007973FB">
            <w:pPr>
              <w:rPr>
                <w:rFonts w:asciiTheme="minorHAnsi" w:hAnsiTheme="minorHAnsi"/>
                <w:sz w:val="20"/>
                <w:lang w:val="en-GB"/>
              </w:rPr>
            </w:pPr>
          </w:p>
        </w:tc>
      </w:tr>
      <w:tr w:rsidR="004C18E8" w:rsidRPr="002F1201" w14:paraId="6C857E85" w14:textId="77777777" w:rsidTr="002F1201">
        <w:trPr>
          <w:gridAfter w:val="1"/>
          <w:wAfter w:w="170" w:type="dxa"/>
          <w:trHeight w:val="433"/>
        </w:trPr>
        <w:tc>
          <w:tcPr>
            <w:tcW w:w="2553" w:type="dxa"/>
            <w:shd w:val="clear" w:color="auto" w:fill="F2F2F2" w:themeFill="background1" w:themeFillShade="F2"/>
            <w:vAlign w:val="center"/>
          </w:tcPr>
          <w:p w14:paraId="27724697" w14:textId="7C8C47D7" w:rsidR="004C18E8" w:rsidRPr="002F1201" w:rsidRDefault="004C18E8" w:rsidP="007973FB">
            <w:pPr>
              <w:rPr>
                <w:rFonts w:asciiTheme="minorHAnsi" w:hAnsiTheme="minorHAnsi"/>
                <w:sz w:val="21"/>
                <w:szCs w:val="21"/>
                <w:lang w:val="en-GB"/>
              </w:rPr>
            </w:pPr>
            <w:r w:rsidRPr="002F1201">
              <w:rPr>
                <w:rFonts w:asciiTheme="minorHAnsi" w:hAnsiTheme="minorHAnsi"/>
                <w:sz w:val="21"/>
                <w:szCs w:val="21"/>
                <w:lang w:val="en-GB"/>
              </w:rPr>
              <w:t xml:space="preserve">6. </w:t>
            </w:r>
            <w:r w:rsidR="00390B6D" w:rsidRPr="002F1201">
              <w:rPr>
                <w:rFonts w:asciiTheme="minorHAnsi" w:hAnsiTheme="minorHAnsi"/>
                <w:sz w:val="21"/>
                <w:szCs w:val="21"/>
                <w:lang w:val="en-GB"/>
              </w:rPr>
              <w:t>NUMBER O</w:t>
            </w:r>
            <w:r w:rsidR="002F1201">
              <w:rPr>
                <w:rFonts w:asciiTheme="minorHAnsi" w:hAnsiTheme="minorHAnsi"/>
                <w:sz w:val="21"/>
                <w:szCs w:val="21"/>
                <w:lang w:val="en-GB"/>
              </w:rPr>
              <w:t xml:space="preserve">F </w:t>
            </w:r>
            <w:r w:rsidR="00390B6D" w:rsidRPr="002F1201">
              <w:rPr>
                <w:rFonts w:asciiTheme="minorHAnsi" w:hAnsiTheme="minorHAnsi"/>
                <w:sz w:val="21"/>
                <w:szCs w:val="21"/>
                <w:lang w:val="en-GB"/>
              </w:rPr>
              <w:t>MORTGAGE REGISTER</w:t>
            </w:r>
            <w:r w:rsidR="006936FE" w:rsidRPr="002F1201">
              <w:rPr>
                <w:rFonts w:asciiTheme="minorHAnsi" w:hAnsiTheme="minorHAnsi"/>
                <w:sz w:val="21"/>
                <w:szCs w:val="21"/>
                <w:lang w:val="en-GB"/>
              </w:rPr>
              <w:t>:</w:t>
            </w:r>
            <w:r w:rsidRPr="002F1201">
              <w:rPr>
                <w:rFonts w:asciiTheme="minorHAnsi" w:hAnsiTheme="minorHAnsi"/>
                <w:sz w:val="21"/>
                <w:szCs w:val="21"/>
                <w:lang w:val="en-GB"/>
              </w:rPr>
              <w:t xml:space="preserve"> </w:t>
            </w:r>
            <w:r w:rsidRPr="002F1201">
              <w:rPr>
                <w:rFonts w:asciiTheme="minorHAnsi" w:hAnsiTheme="minorHAnsi"/>
                <w:sz w:val="21"/>
                <w:szCs w:val="21"/>
                <w:lang w:val="en-GB"/>
              </w:rPr>
              <w:br/>
            </w:r>
            <w:r w:rsidRPr="002F1201">
              <w:rPr>
                <w:rFonts w:asciiTheme="minorHAnsi" w:hAnsiTheme="minorHAnsi"/>
                <w:sz w:val="18"/>
                <w:szCs w:val="18"/>
                <w:lang w:val="en-GB"/>
              </w:rPr>
              <w:t>(EKW</w:t>
            </w:r>
            <w:r w:rsidR="00390B6D" w:rsidRPr="002F1201">
              <w:rPr>
                <w:rFonts w:asciiTheme="minorHAnsi" w:hAnsiTheme="minorHAnsi"/>
                <w:sz w:val="18"/>
                <w:szCs w:val="18"/>
                <w:lang w:val="en-GB"/>
              </w:rPr>
              <w:t xml:space="preserve"> format</w:t>
            </w:r>
            <w:r w:rsidRPr="002F1201">
              <w:rPr>
                <w:rFonts w:asciiTheme="minorHAnsi" w:hAnsiTheme="minorHAnsi"/>
                <w:sz w:val="18"/>
                <w:szCs w:val="18"/>
                <w:lang w:val="en-GB"/>
              </w:rPr>
              <w:t>)</w:t>
            </w:r>
          </w:p>
        </w:tc>
        <w:tc>
          <w:tcPr>
            <w:tcW w:w="2551" w:type="dxa"/>
            <w:shd w:val="clear" w:color="auto" w:fill="F2F2F2" w:themeFill="background1" w:themeFillShade="F2"/>
            <w:vAlign w:val="center"/>
          </w:tcPr>
          <w:p w14:paraId="660AC7E0" w14:textId="2B536774" w:rsidR="004C18E8" w:rsidRPr="002F1201" w:rsidRDefault="004C18E8" w:rsidP="007973FB">
            <w:pPr>
              <w:rPr>
                <w:rFonts w:asciiTheme="minorHAnsi" w:hAnsiTheme="minorHAnsi"/>
                <w:sz w:val="21"/>
                <w:szCs w:val="21"/>
                <w:lang w:val="en-GB"/>
              </w:rPr>
            </w:pPr>
            <w:r w:rsidRPr="002F1201">
              <w:rPr>
                <w:rFonts w:asciiTheme="minorHAnsi" w:hAnsiTheme="minorHAnsi"/>
                <w:sz w:val="21"/>
                <w:szCs w:val="21"/>
                <w:lang w:val="en-GB"/>
              </w:rPr>
              <w:t xml:space="preserve">7. </w:t>
            </w:r>
            <w:r w:rsidR="00390B6D" w:rsidRPr="002F1201">
              <w:rPr>
                <w:rFonts w:asciiTheme="minorHAnsi" w:hAnsiTheme="minorHAnsi"/>
                <w:sz w:val="21"/>
                <w:szCs w:val="21"/>
                <w:lang w:val="en-GB"/>
              </w:rPr>
              <w:t>DISTRICT COURT AND MORTGAGE DIVISION</w:t>
            </w:r>
            <w:r w:rsidRPr="002F1201">
              <w:rPr>
                <w:rFonts w:asciiTheme="minorHAnsi" w:hAnsiTheme="minorHAnsi"/>
                <w:sz w:val="21"/>
                <w:szCs w:val="21"/>
                <w:lang w:val="en-GB"/>
              </w:rPr>
              <w:t>:</w:t>
            </w:r>
          </w:p>
        </w:tc>
        <w:tc>
          <w:tcPr>
            <w:tcW w:w="5245" w:type="dxa"/>
            <w:gridSpan w:val="3"/>
            <w:shd w:val="clear" w:color="auto" w:fill="F2F2F2" w:themeFill="background1" w:themeFillShade="F2"/>
            <w:vAlign w:val="center"/>
          </w:tcPr>
          <w:p w14:paraId="46A2BEFB" w14:textId="051C17CA" w:rsidR="004C18E8" w:rsidRPr="002F1201" w:rsidRDefault="004C18E8" w:rsidP="007973FB">
            <w:pPr>
              <w:rPr>
                <w:rFonts w:asciiTheme="minorHAnsi" w:hAnsiTheme="minorHAnsi"/>
                <w:sz w:val="21"/>
                <w:szCs w:val="21"/>
                <w:lang w:val="en-GB"/>
              </w:rPr>
            </w:pPr>
            <w:r w:rsidRPr="002F1201">
              <w:rPr>
                <w:rFonts w:asciiTheme="minorHAnsi" w:hAnsiTheme="minorHAnsi"/>
                <w:sz w:val="21"/>
                <w:szCs w:val="21"/>
                <w:lang w:val="en-GB"/>
              </w:rPr>
              <w:t xml:space="preserve">8. </w:t>
            </w:r>
            <w:r w:rsidR="00390B6D" w:rsidRPr="002F1201">
              <w:rPr>
                <w:rFonts w:asciiTheme="minorHAnsi" w:hAnsiTheme="minorHAnsi"/>
                <w:sz w:val="21"/>
                <w:szCs w:val="21"/>
                <w:lang w:val="en-GB"/>
              </w:rPr>
              <w:t>ADDRESS OF THE PROPERTY</w:t>
            </w:r>
            <w:r w:rsidRPr="002F1201">
              <w:rPr>
                <w:rFonts w:asciiTheme="minorHAnsi" w:hAnsiTheme="minorHAnsi"/>
                <w:sz w:val="21"/>
                <w:szCs w:val="21"/>
                <w:lang w:val="en-GB"/>
              </w:rPr>
              <w:t>:</w:t>
            </w:r>
            <w:r w:rsidR="002F1201">
              <w:rPr>
                <w:rFonts w:asciiTheme="minorHAnsi" w:hAnsiTheme="minorHAnsi"/>
                <w:sz w:val="21"/>
                <w:szCs w:val="21"/>
                <w:lang w:val="en-GB"/>
              </w:rPr>
              <w:br/>
            </w:r>
            <w:r w:rsidR="002F1201" w:rsidRPr="002F1201">
              <w:rPr>
                <w:rFonts w:asciiTheme="minorHAnsi" w:hAnsiTheme="minorHAnsi"/>
                <w:sz w:val="18"/>
                <w:szCs w:val="18"/>
                <w:lang w:val="en-GB"/>
              </w:rPr>
              <w:t xml:space="preserve">(including </w:t>
            </w:r>
            <w:r w:rsidR="002F1201">
              <w:rPr>
                <w:rFonts w:asciiTheme="minorHAnsi" w:hAnsiTheme="minorHAnsi"/>
                <w:sz w:val="18"/>
                <w:szCs w:val="18"/>
                <w:lang w:val="en-GB"/>
              </w:rPr>
              <w:t xml:space="preserve">geodetic </w:t>
            </w:r>
            <w:r w:rsidR="002F1201" w:rsidRPr="002F1201">
              <w:rPr>
                <w:rFonts w:asciiTheme="minorHAnsi" w:hAnsiTheme="minorHAnsi"/>
                <w:sz w:val="18"/>
                <w:szCs w:val="18"/>
                <w:lang w:val="en-GB"/>
              </w:rPr>
              <w:t xml:space="preserve">precinct </w:t>
            </w:r>
            <w:r w:rsidR="002F1201" w:rsidRPr="002F1201">
              <w:rPr>
                <w:rFonts w:asciiTheme="minorHAnsi" w:hAnsiTheme="minorHAnsi"/>
                <w:sz w:val="18"/>
                <w:szCs w:val="18"/>
                <w:lang w:val="en-GB"/>
              </w:rPr>
              <w:t>and number</w:t>
            </w:r>
            <w:r w:rsidR="007421AA">
              <w:rPr>
                <w:rFonts w:asciiTheme="minorHAnsi" w:hAnsiTheme="minorHAnsi"/>
                <w:sz w:val="18"/>
                <w:szCs w:val="18"/>
                <w:lang w:val="en-GB"/>
              </w:rPr>
              <w:t xml:space="preserve"> of the plot</w:t>
            </w:r>
            <w:r w:rsidR="002F1201" w:rsidRPr="002F1201">
              <w:rPr>
                <w:rFonts w:asciiTheme="minorHAnsi" w:hAnsiTheme="minorHAnsi"/>
                <w:sz w:val="18"/>
                <w:szCs w:val="18"/>
                <w:lang w:val="en-GB"/>
              </w:rPr>
              <w:t>)</w:t>
            </w:r>
          </w:p>
        </w:tc>
      </w:tr>
      <w:tr w:rsidR="004C18E8" w:rsidRPr="002F1201" w14:paraId="597E512C" w14:textId="77777777" w:rsidTr="002F1201">
        <w:trPr>
          <w:gridAfter w:val="1"/>
          <w:wAfter w:w="170" w:type="dxa"/>
          <w:trHeight w:val="941"/>
        </w:trPr>
        <w:tc>
          <w:tcPr>
            <w:tcW w:w="2553" w:type="dxa"/>
            <w:vAlign w:val="center"/>
          </w:tcPr>
          <w:p w14:paraId="58539E44" w14:textId="7DCA64B3" w:rsidR="004C18E8" w:rsidRPr="002F1201" w:rsidRDefault="004C18E8" w:rsidP="007973FB">
            <w:pPr>
              <w:rPr>
                <w:rFonts w:asciiTheme="minorHAnsi" w:hAnsiTheme="minorHAnsi"/>
                <w:sz w:val="20"/>
                <w:lang w:val="en-GB"/>
              </w:rPr>
            </w:pPr>
          </w:p>
        </w:tc>
        <w:tc>
          <w:tcPr>
            <w:tcW w:w="2551" w:type="dxa"/>
            <w:vAlign w:val="center"/>
          </w:tcPr>
          <w:p w14:paraId="1AEB6A8D" w14:textId="618671D8" w:rsidR="004C18E8" w:rsidRPr="002F1201" w:rsidRDefault="004C18E8" w:rsidP="007973FB">
            <w:pPr>
              <w:spacing w:before="20"/>
              <w:rPr>
                <w:rFonts w:asciiTheme="minorHAnsi" w:hAnsiTheme="minorHAnsi"/>
                <w:sz w:val="20"/>
                <w:lang w:val="en-GB"/>
              </w:rPr>
            </w:pPr>
          </w:p>
        </w:tc>
        <w:tc>
          <w:tcPr>
            <w:tcW w:w="5245" w:type="dxa"/>
            <w:gridSpan w:val="3"/>
            <w:vAlign w:val="center"/>
          </w:tcPr>
          <w:p w14:paraId="216FCFA9" w14:textId="27E86A83" w:rsidR="004C18E8" w:rsidRPr="002F1201" w:rsidRDefault="004C18E8" w:rsidP="007973FB">
            <w:pPr>
              <w:rPr>
                <w:rFonts w:asciiTheme="minorHAnsi" w:hAnsiTheme="minorHAnsi"/>
                <w:sz w:val="20"/>
                <w:lang w:val="en-GB"/>
              </w:rPr>
            </w:pPr>
          </w:p>
        </w:tc>
      </w:tr>
      <w:tr w:rsidR="004C18E8" w:rsidRPr="002F1201" w14:paraId="4A9543F6" w14:textId="77777777" w:rsidTr="00905BEF">
        <w:trPr>
          <w:gridAfter w:val="1"/>
          <w:wAfter w:w="170" w:type="dxa"/>
          <w:trHeight w:val="288"/>
        </w:trPr>
        <w:tc>
          <w:tcPr>
            <w:tcW w:w="10349" w:type="dxa"/>
            <w:gridSpan w:val="5"/>
            <w:shd w:val="clear" w:color="auto" w:fill="EDEDED" w:themeFill="accent3" w:themeFillTint="33"/>
          </w:tcPr>
          <w:p w14:paraId="5DFCE976" w14:textId="1F39DB13" w:rsidR="004C18E8" w:rsidRPr="002F1201" w:rsidRDefault="004C18E8" w:rsidP="007973FB">
            <w:pPr>
              <w:spacing w:before="60" w:after="60"/>
              <w:rPr>
                <w:rFonts w:asciiTheme="minorHAnsi" w:hAnsiTheme="minorHAnsi"/>
                <w:sz w:val="21"/>
                <w:szCs w:val="21"/>
                <w:lang w:val="en-GB"/>
              </w:rPr>
            </w:pPr>
            <w:r w:rsidRPr="002F1201">
              <w:rPr>
                <w:rFonts w:asciiTheme="minorHAnsi" w:hAnsiTheme="minorHAnsi"/>
                <w:sz w:val="21"/>
                <w:szCs w:val="21"/>
                <w:lang w:val="en-GB"/>
              </w:rPr>
              <w:t xml:space="preserve">9. </w:t>
            </w:r>
            <w:r w:rsidR="00390B6D" w:rsidRPr="002F1201">
              <w:rPr>
                <w:rFonts w:asciiTheme="minorHAnsi" w:hAnsiTheme="minorHAnsi"/>
                <w:sz w:val="21"/>
                <w:szCs w:val="21"/>
                <w:lang w:val="en-GB"/>
              </w:rPr>
              <w:t xml:space="preserve">DATA OF THE PROPERTY’S OWNER (IN PURPOSE TO SET </w:t>
            </w:r>
            <w:r w:rsidR="007421AA">
              <w:rPr>
                <w:rFonts w:asciiTheme="minorHAnsi" w:hAnsiTheme="minorHAnsi"/>
                <w:sz w:val="21"/>
                <w:szCs w:val="21"/>
                <w:lang w:val="en-GB"/>
              </w:rPr>
              <w:t xml:space="preserve">UP AN </w:t>
            </w:r>
            <w:r w:rsidR="00390B6D" w:rsidRPr="002F1201">
              <w:rPr>
                <w:rFonts w:asciiTheme="minorHAnsi" w:hAnsiTheme="minorHAnsi"/>
                <w:sz w:val="21"/>
                <w:szCs w:val="21"/>
                <w:lang w:val="en-GB"/>
              </w:rPr>
              <w:t xml:space="preserve">ON-SITE VERIFICATION): </w:t>
            </w:r>
          </w:p>
        </w:tc>
      </w:tr>
      <w:tr w:rsidR="004C18E8" w:rsidRPr="002F1201" w14:paraId="433C4F0F" w14:textId="77777777" w:rsidTr="002F1201">
        <w:trPr>
          <w:gridAfter w:val="1"/>
          <w:wAfter w:w="170" w:type="dxa"/>
          <w:trHeight w:val="705"/>
        </w:trPr>
        <w:tc>
          <w:tcPr>
            <w:tcW w:w="2553" w:type="dxa"/>
          </w:tcPr>
          <w:p w14:paraId="5B5D0404" w14:textId="3293A9C6" w:rsidR="004C18E8" w:rsidRPr="002F1201" w:rsidRDefault="00390B6D" w:rsidP="007973FB">
            <w:pPr>
              <w:spacing w:before="30"/>
              <w:rPr>
                <w:rFonts w:asciiTheme="minorHAnsi" w:hAnsiTheme="minorHAnsi"/>
                <w:sz w:val="19"/>
                <w:szCs w:val="19"/>
                <w:lang w:val="en-GB"/>
              </w:rPr>
            </w:pPr>
            <w:r w:rsidRPr="002F1201">
              <w:rPr>
                <w:rFonts w:asciiTheme="minorHAnsi" w:hAnsiTheme="minorHAnsi"/>
                <w:sz w:val="19"/>
                <w:szCs w:val="19"/>
                <w:lang w:val="en-GB"/>
              </w:rPr>
              <w:t>NAME AND SURNAME</w:t>
            </w:r>
          </w:p>
        </w:tc>
        <w:tc>
          <w:tcPr>
            <w:tcW w:w="2551" w:type="dxa"/>
          </w:tcPr>
          <w:p w14:paraId="1A6FEA84" w14:textId="619C6213" w:rsidR="004C18E8" w:rsidRPr="002F1201" w:rsidRDefault="00390B6D" w:rsidP="007973FB">
            <w:pPr>
              <w:spacing w:before="30"/>
              <w:rPr>
                <w:rFonts w:asciiTheme="minorHAnsi" w:hAnsiTheme="minorHAnsi"/>
                <w:sz w:val="19"/>
                <w:szCs w:val="19"/>
                <w:lang w:val="en-GB"/>
              </w:rPr>
            </w:pPr>
            <w:r w:rsidRPr="002F1201">
              <w:rPr>
                <w:rFonts w:asciiTheme="minorHAnsi" w:hAnsiTheme="minorHAnsi"/>
                <w:sz w:val="19"/>
                <w:szCs w:val="19"/>
                <w:lang w:val="en-GB"/>
              </w:rPr>
              <w:t>PHONE NUMBER</w:t>
            </w:r>
          </w:p>
        </w:tc>
        <w:tc>
          <w:tcPr>
            <w:tcW w:w="5245" w:type="dxa"/>
            <w:gridSpan w:val="3"/>
          </w:tcPr>
          <w:p w14:paraId="5284945B" w14:textId="3A27DE6F" w:rsidR="004C18E8" w:rsidRPr="002F1201" w:rsidRDefault="004C18E8" w:rsidP="007973FB">
            <w:pPr>
              <w:spacing w:before="30"/>
              <w:rPr>
                <w:rFonts w:asciiTheme="minorHAnsi" w:hAnsiTheme="minorHAnsi"/>
                <w:sz w:val="19"/>
                <w:szCs w:val="19"/>
                <w:lang w:val="en-GB"/>
              </w:rPr>
            </w:pPr>
            <w:r w:rsidRPr="002F1201">
              <w:rPr>
                <w:rFonts w:asciiTheme="minorHAnsi" w:hAnsiTheme="minorHAnsi"/>
                <w:sz w:val="19"/>
                <w:szCs w:val="19"/>
                <w:lang w:val="en-GB"/>
              </w:rPr>
              <w:t>E-MAIL</w:t>
            </w:r>
            <w:r w:rsidR="00390B6D" w:rsidRPr="002F1201">
              <w:rPr>
                <w:rFonts w:asciiTheme="minorHAnsi" w:hAnsiTheme="minorHAnsi"/>
                <w:sz w:val="19"/>
                <w:szCs w:val="19"/>
                <w:lang w:val="en-GB"/>
              </w:rPr>
              <w:t xml:space="preserve"> ADDRESS</w:t>
            </w:r>
          </w:p>
        </w:tc>
      </w:tr>
      <w:tr w:rsidR="004C18E8" w:rsidRPr="002F1201" w14:paraId="6FA37CCB" w14:textId="77777777" w:rsidTr="009B6291">
        <w:trPr>
          <w:gridAfter w:val="1"/>
          <w:wAfter w:w="170" w:type="dxa"/>
          <w:trHeight w:val="374"/>
        </w:trPr>
        <w:tc>
          <w:tcPr>
            <w:tcW w:w="10349" w:type="dxa"/>
            <w:gridSpan w:val="5"/>
            <w:shd w:val="clear" w:color="auto" w:fill="EDEDED" w:themeFill="accent3" w:themeFillTint="33"/>
          </w:tcPr>
          <w:p w14:paraId="7BB1D0C8" w14:textId="1153E7D8" w:rsidR="004C18E8" w:rsidRPr="002F1201" w:rsidRDefault="004C18E8" w:rsidP="007973FB">
            <w:pPr>
              <w:spacing w:before="60" w:after="60"/>
              <w:rPr>
                <w:rFonts w:asciiTheme="minorHAnsi" w:hAnsiTheme="minorHAnsi"/>
                <w:sz w:val="21"/>
                <w:szCs w:val="21"/>
                <w:lang w:val="en-GB"/>
              </w:rPr>
            </w:pPr>
            <w:r w:rsidRPr="002F1201">
              <w:rPr>
                <w:rFonts w:asciiTheme="minorHAnsi" w:hAnsiTheme="minorHAnsi"/>
                <w:sz w:val="21"/>
                <w:szCs w:val="21"/>
                <w:lang w:val="en-GB"/>
              </w:rPr>
              <w:t xml:space="preserve">10. </w:t>
            </w:r>
            <w:r w:rsidR="00390B6D" w:rsidRPr="002F1201">
              <w:rPr>
                <w:rFonts w:asciiTheme="minorHAnsi" w:hAnsiTheme="minorHAnsi"/>
                <w:sz w:val="21"/>
                <w:szCs w:val="21"/>
                <w:lang w:val="en-GB"/>
              </w:rPr>
              <w:t>DATA OF THE ORDERER</w:t>
            </w:r>
            <w:r w:rsidRPr="002F1201">
              <w:rPr>
                <w:rFonts w:asciiTheme="minorHAnsi" w:hAnsiTheme="minorHAnsi"/>
                <w:sz w:val="21"/>
                <w:szCs w:val="21"/>
                <w:lang w:val="en-GB"/>
              </w:rPr>
              <w:t>:</w:t>
            </w:r>
          </w:p>
        </w:tc>
      </w:tr>
      <w:tr w:rsidR="004C18E8" w:rsidRPr="002F1201" w14:paraId="37E9C831" w14:textId="77777777" w:rsidTr="002F1201">
        <w:trPr>
          <w:gridAfter w:val="1"/>
          <w:wAfter w:w="170" w:type="dxa"/>
          <w:trHeight w:val="1131"/>
        </w:trPr>
        <w:tc>
          <w:tcPr>
            <w:tcW w:w="5104" w:type="dxa"/>
            <w:gridSpan w:val="2"/>
          </w:tcPr>
          <w:p w14:paraId="62C4F96C" w14:textId="590ED4DA" w:rsidR="00390B6D" w:rsidRPr="002F1201" w:rsidRDefault="00390B6D" w:rsidP="00390B6D">
            <w:pPr>
              <w:spacing w:before="30"/>
              <w:rPr>
                <w:rFonts w:asciiTheme="minorHAnsi" w:hAnsiTheme="minorHAnsi"/>
                <w:sz w:val="19"/>
                <w:szCs w:val="19"/>
                <w:lang w:val="en-GB"/>
              </w:rPr>
            </w:pPr>
            <w:r w:rsidRPr="002F1201">
              <w:rPr>
                <w:rFonts w:asciiTheme="minorHAnsi" w:hAnsiTheme="minorHAnsi"/>
                <w:sz w:val="19"/>
                <w:szCs w:val="19"/>
                <w:lang w:val="en-GB"/>
              </w:rPr>
              <w:t xml:space="preserve">INVOICE DATA AND ADDRESS FOR INVIOCE DELIVERY </w:t>
            </w:r>
            <w:r w:rsidR="002F1201">
              <w:rPr>
                <w:rFonts w:asciiTheme="minorHAnsi" w:hAnsiTheme="minorHAnsi"/>
                <w:sz w:val="19"/>
                <w:szCs w:val="19"/>
                <w:lang w:val="en-GB"/>
              </w:rPr>
              <w:br/>
            </w:r>
            <w:r w:rsidRPr="002F1201">
              <w:rPr>
                <w:rFonts w:asciiTheme="minorHAnsi" w:hAnsiTheme="minorHAnsi"/>
                <w:sz w:val="19"/>
                <w:szCs w:val="19"/>
                <w:lang w:val="en-GB"/>
              </w:rPr>
              <w:t>(POSTAL OR E-MAIL):</w:t>
            </w:r>
          </w:p>
          <w:p w14:paraId="2F2BE833" w14:textId="77777777" w:rsidR="004C18E8" w:rsidRPr="002F1201" w:rsidRDefault="004C18E8" w:rsidP="007973FB">
            <w:pPr>
              <w:spacing w:before="30"/>
              <w:rPr>
                <w:rFonts w:asciiTheme="minorHAnsi" w:hAnsiTheme="minorHAnsi"/>
                <w:sz w:val="19"/>
                <w:szCs w:val="19"/>
                <w:lang w:val="en-GB"/>
              </w:rPr>
            </w:pPr>
          </w:p>
        </w:tc>
        <w:tc>
          <w:tcPr>
            <w:tcW w:w="5245" w:type="dxa"/>
            <w:gridSpan w:val="3"/>
          </w:tcPr>
          <w:p w14:paraId="4277BF23" w14:textId="5F732F63" w:rsidR="004C18E8" w:rsidRPr="002F1201" w:rsidRDefault="004C18E8" w:rsidP="007973FB">
            <w:pPr>
              <w:spacing w:before="30"/>
              <w:rPr>
                <w:rFonts w:asciiTheme="minorHAnsi" w:hAnsiTheme="minorHAnsi"/>
                <w:sz w:val="19"/>
                <w:szCs w:val="19"/>
                <w:lang w:val="en-GB"/>
              </w:rPr>
            </w:pPr>
            <w:r w:rsidRPr="002F1201">
              <w:rPr>
                <w:rFonts w:asciiTheme="minorHAnsi" w:hAnsiTheme="minorHAnsi"/>
                <w:sz w:val="19"/>
                <w:szCs w:val="19"/>
                <w:lang w:val="en-GB"/>
              </w:rPr>
              <w:t>AD</w:t>
            </w:r>
            <w:r w:rsidR="00C012F9" w:rsidRPr="002F1201">
              <w:rPr>
                <w:rFonts w:asciiTheme="minorHAnsi" w:hAnsiTheme="minorHAnsi"/>
                <w:sz w:val="19"/>
                <w:szCs w:val="19"/>
                <w:lang w:val="en-GB"/>
              </w:rPr>
              <w:t>D</w:t>
            </w:r>
            <w:r w:rsidRPr="002F1201">
              <w:rPr>
                <w:rFonts w:asciiTheme="minorHAnsi" w:hAnsiTheme="minorHAnsi"/>
                <w:sz w:val="19"/>
                <w:szCs w:val="19"/>
                <w:lang w:val="en-GB"/>
              </w:rPr>
              <w:t>RES</w:t>
            </w:r>
            <w:r w:rsidR="00C012F9" w:rsidRPr="002F1201">
              <w:rPr>
                <w:rFonts w:asciiTheme="minorHAnsi" w:hAnsiTheme="minorHAnsi"/>
                <w:sz w:val="19"/>
                <w:szCs w:val="19"/>
                <w:lang w:val="en-GB"/>
              </w:rPr>
              <w:t xml:space="preserve">S FOR DELIVERY OF PAPER </w:t>
            </w:r>
            <w:r w:rsidR="007421AA">
              <w:rPr>
                <w:rFonts w:asciiTheme="minorHAnsi" w:hAnsiTheme="minorHAnsi"/>
                <w:sz w:val="19"/>
                <w:szCs w:val="19"/>
                <w:lang w:val="en-GB"/>
              </w:rPr>
              <w:t>FORM</w:t>
            </w:r>
            <w:r w:rsidR="00C012F9" w:rsidRPr="002F1201">
              <w:rPr>
                <w:rFonts w:asciiTheme="minorHAnsi" w:hAnsiTheme="minorHAnsi"/>
                <w:sz w:val="19"/>
                <w:szCs w:val="19"/>
                <w:lang w:val="en-GB"/>
              </w:rPr>
              <w:t xml:space="preserve"> OF THE REPORT</w:t>
            </w:r>
            <w:r w:rsidRPr="002F1201">
              <w:rPr>
                <w:rFonts w:asciiTheme="minorHAnsi" w:hAnsiTheme="minorHAnsi"/>
                <w:sz w:val="19"/>
                <w:szCs w:val="19"/>
                <w:lang w:val="en-GB"/>
              </w:rPr>
              <w:t>:</w:t>
            </w:r>
          </w:p>
          <w:p w14:paraId="06EC724E" w14:textId="77777777" w:rsidR="004C18E8" w:rsidRPr="002F1201" w:rsidRDefault="004C18E8" w:rsidP="007973FB">
            <w:pPr>
              <w:spacing w:before="30"/>
              <w:rPr>
                <w:rFonts w:asciiTheme="minorHAnsi" w:hAnsiTheme="minorHAnsi"/>
                <w:sz w:val="19"/>
                <w:szCs w:val="19"/>
                <w:lang w:val="en-GB"/>
              </w:rPr>
            </w:pPr>
          </w:p>
        </w:tc>
      </w:tr>
      <w:tr w:rsidR="004C18E8" w:rsidRPr="002F1201" w14:paraId="28E8AF63" w14:textId="77777777" w:rsidTr="009B6291">
        <w:trPr>
          <w:gridAfter w:val="1"/>
          <w:wAfter w:w="170" w:type="dxa"/>
          <w:trHeight w:val="401"/>
        </w:trPr>
        <w:tc>
          <w:tcPr>
            <w:tcW w:w="10349" w:type="dxa"/>
            <w:gridSpan w:val="5"/>
            <w:shd w:val="clear" w:color="auto" w:fill="EDEDED" w:themeFill="accent3" w:themeFillTint="33"/>
          </w:tcPr>
          <w:p w14:paraId="1EB1DFF0" w14:textId="7DEF9B1B" w:rsidR="004C18E8" w:rsidRPr="002F1201" w:rsidRDefault="004C18E8" w:rsidP="007973FB">
            <w:pPr>
              <w:spacing w:before="60" w:after="60"/>
              <w:rPr>
                <w:rFonts w:asciiTheme="minorHAnsi" w:hAnsiTheme="minorHAnsi"/>
                <w:sz w:val="21"/>
                <w:szCs w:val="21"/>
                <w:lang w:val="en-GB"/>
              </w:rPr>
            </w:pPr>
            <w:r w:rsidRPr="002F1201">
              <w:rPr>
                <w:rFonts w:asciiTheme="minorHAnsi" w:hAnsiTheme="minorHAnsi"/>
                <w:sz w:val="21"/>
                <w:szCs w:val="21"/>
                <w:lang w:val="en-GB"/>
              </w:rPr>
              <w:t xml:space="preserve">11. </w:t>
            </w:r>
            <w:r w:rsidR="00C012F9" w:rsidRPr="002F1201">
              <w:rPr>
                <w:rFonts w:asciiTheme="minorHAnsi" w:hAnsiTheme="minorHAnsi"/>
                <w:sz w:val="21"/>
                <w:szCs w:val="21"/>
                <w:lang w:val="en-GB"/>
              </w:rPr>
              <w:t>ORDERER’S STATEMENTS</w:t>
            </w:r>
            <w:r w:rsidRPr="002F1201">
              <w:rPr>
                <w:rFonts w:asciiTheme="minorHAnsi" w:hAnsiTheme="minorHAnsi"/>
                <w:sz w:val="21"/>
                <w:szCs w:val="21"/>
                <w:lang w:val="en-GB"/>
              </w:rPr>
              <w:t>:</w:t>
            </w:r>
          </w:p>
        </w:tc>
      </w:tr>
      <w:tr w:rsidR="004C18E8" w:rsidRPr="002F1201" w14:paraId="59250CBA" w14:textId="77777777" w:rsidTr="00C012F9">
        <w:trPr>
          <w:gridAfter w:val="1"/>
          <w:wAfter w:w="170" w:type="dxa"/>
          <w:trHeight w:val="3084"/>
        </w:trPr>
        <w:tc>
          <w:tcPr>
            <w:tcW w:w="10349" w:type="dxa"/>
            <w:gridSpan w:val="5"/>
          </w:tcPr>
          <w:p w14:paraId="322BEC76" w14:textId="1A452BE7" w:rsidR="00C012F9" w:rsidRPr="002F1201" w:rsidRDefault="00C012F9" w:rsidP="00C012F9">
            <w:pPr>
              <w:pStyle w:val="Akapitzlist"/>
              <w:numPr>
                <w:ilvl w:val="0"/>
                <w:numId w:val="2"/>
              </w:numPr>
              <w:autoSpaceDE w:val="0"/>
              <w:autoSpaceDN w:val="0"/>
              <w:adjustRightInd w:val="0"/>
              <w:spacing w:before="60" w:after="60" w:line="240" w:lineRule="auto"/>
              <w:ind w:left="351" w:hanging="357"/>
              <w:contextualSpacing w:val="0"/>
              <w:jc w:val="both"/>
              <w:rPr>
                <w:rFonts w:asciiTheme="minorHAnsi" w:hAnsiTheme="minorHAnsi" w:cs="ArialMT"/>
                <w:sz w:val="20"/>
                <w:szCs w:val="20"/>
                <w:lang w:val="en-GB"/>
              </w:rPr>
            </w:pPr>
            <w:r w:rsidRPr="002F1201">
              <w:rPr>
                <w:rFonts w:asciiTheme="minorHAnsi" w:hAnsiTheme="minorHAnsi" w:cs="ArialMT"/>
                <w:sz w:val="20"/>
                <w:szCs w:val="20"/>
                <w:lang w:val="en-GB"/>
              </w:rPr>
              <w:t xml:space="preserve">I was informed that the ordered Report would be prepared by professional entity, </w:t>
            </w:r>
            <w:r w:rsidR="007421AA" w:rsidRPr="002F1201">
              <w:rPr>
                <w:rFonts w:asciiTheme="minorHAnsi" w:hAnsiTheme="minorHAnsi" w:cs="ArialMT"/>
                <w:sz w:val="20"/>
                <w:szCs w:val="20"/>
                <w:lang w:val="en-GB"/>
              </w:rPr>
              <w:t>i.e.</w:t>
            </w:r>
            <w:r w:rsidR="007421AA">
              <w:rPr>
                <w:rFonts w:asciiTheme="minorHAnsi" w:hAnsiTheme="minorHAnsi" w:cs="ArialMT"/>
                <w:sz w:val="20"/>
                <w:szCs w:val="20"/>
                <w:lang w:val="en-GB"/>
              </w:rPr>
              <w:t xml:space="preserve"> a</w:t>
            </w:r>
            <w:r w:rsidRPr="002F1201">
              <w:rPr>
                <w:rFonts w:asciiTheme="minorHAnsi" w:hAnsiTheme="minorHAnsi" w:cs="ArialMT"/>
                <w:sz w:val="20"/>
                <w:szCs w:val="20"/>
                <w:lang w:val="en-GB"/>
              </w:rPr>
              <w:t xml:space="preserve"> person holding a valuation licence or construction qualifications, a subcontractor of Centre of Banking Law and Information (</w:t>
            </w:r>
            <w:r w:rsidRPr="007421AA">
              <w:rPr>
                <w:rFonts w:asciiTheme="minorHAnsi" w:hAnsiTheme="minorHAnsi" w:cs="ArialMT"/>
                <w:sz w:val="20"/>
                <w:szCs w:val="20"/>
                <w:lang w:val="en-GB"/>
              </w:rPr>
              <w:t xml:space="preserve">Centrum </w:t>
            </w:r>
            <w:proofErr w:type="spellStart"/>
            <w:r w:rsidRPr="007421AA">
              <w:rPr>
                <w:rFonts w:asciiTheme="minorHAnsi" w:hAnsiTheme="minorHAnsi" w:cs="ArialMT"/>
                <w:sz w:val="20"/>
                <w:szCs w:val="20"/>
                <w:lang w:val="en-GB"/>
              </w:rPr>
              <w:t>Prawa</w:t>
            </w:r>
            <w:proofErr w:type="spellEnd"/>
            <w:r w:rsidRPr="007421AA">
              <w:rPr>
                <w:rFonts w:asciiTheme="minorHAnsi" w:hAnsiTheme="minorHAnsi" w:cs="ArialMT"/>
                <w:sz w:val="20"/>
                <w:szCs w:val="20"/>
                <w:lang w:val="en-GB"/>
              </w:rPr>
              <w:t xml:space="preserve"> </w:t>
            </w:r>
            <w:proofErr w:type="spellStart"/>
            <w:r w:rsidRPr="007421AA">
              <w:rPr>
                <w:rFonts w:asciiTheme="minorHAnsi" w:hAnsiTheme="minorHAnsi" w:cs="ArialMT"/>
                <w:sz w:val="20"/>
                <w:szCs w:val="20"/>
                <w:lang w:val="en-GB"/>
              </w:rPr>
              <w:t>Bankowego</w:t>
            </w:r>
            <w:proofErr w:type="spellEnd"/>
            <w:r w:rsidRPr="007421AA">
              <w:rPr>
                <w:rFonts w:asciiTheme="minorHAnsi" w:hAnsiTheme="minorHAnsi" w:cs="ArialMT"/>
                <w:sz w:val="20"/>
                <w:szCs w:val="20"/>
                <w:lang w:val="en-GB"/>
              </w:rPr>
              <w:t xml:space="preserve"> </w:t>
            </w:r>
            <w:proofErr w:type="spellStart"/>
            <w:r w:rsidRPr="007421AA">
              <w:rPr>
                <w:rFonts w:asciiTheme="minorHAnsi" w:hAnsiTheme="minorHAnsi" w:cs="ArialMT"/>
                <w:sz w:val="20"/>
                <w:szCs w:val="20"/>
                <w:lang w:val="en-GB"/>
              </w:rPr>
              <w:t>i</w:t>
            </w:r>
            <w:proofErr w:type="spellEnd"/>
            <w:r w:rsidRPr="007421AA">
              <w:rPr>
                <w:rFonts w:asciiTheme="minorHAnsi" w:hAnsiTheme="minorHAnsi" w:cs="ArialMT"/>
                <w:sz w:val="20"/>
                <w:szCs w:val="20"/>
                <w:lang w:val="en-GB"/>
              </w:rPr>
              <w:t> </w:t>
            </w:r>
            <w:proofErr w:type="spellStart"/>
            <w:r w:rsidRPr="007421AA">
              <w:rPr>
                <w:rFonts w:asciiTheme="minorHAnsi" w:hAnsiTheme="minorHAnsi" w:cs="ArialMT"/>
                <w:sz w:val="20"/>
                <w:szCs w:val="20"/>
                <w:lang w:val="en-GB"/>
              </w:rPr>
              <w:t>Informacji</w:t>
            </w:r>
            <w:proofErr w:type="spellEnd"/>
            <w:r w:rsidRPr="007421AA">
              <w:rPr>
                <w:rFonts w:asciiTheme="minorHAnsi" w:hAnsiTheme="minorHAnsi" w:cs="ArialMT"/>
                <w:sz w:val="20"/>
                <w:szCs w:val="20"/>
                <w:lang w:val="en-GB"/>
              </w:rPr>
              <w:t xml:space="preserve"> Sp. z </w:t>
            </w:r>
            <w:proofErr w:type="spellStart"/>
            <w:r w:rsidRPr="007421AA">
              <w:rPr>
                <w:rFonts w:asciiTheme="minorHAnsi" w:hAnsiTheme="minorHAnsi" w:cs="ArialMT"/>
                <w:sz w:val="20"/>
                <w:szCs w:val="20"/>
                <w:lang w:val="en-GB"/>
              </w:rPr>
              <w:t>o.o</w:t>
            </w:r>
            <w:proofErr w:type="spellEnd"/>
            <w:r w:rsidRPr="007421AA">
              <w:rPr>
                <w:rFonts w:asciiTheme="minorHAnsi" w:hAnsiTheme="minorHAnsi" w:cs="ArialMT"/>
                <w:sz w:val="20"/>
                <w:szCs w:val="20"/>
                <w:lang w:val="en-GB"/>
              </w:rPr>
              <w:t xml:space="preserve">., hereinafter referred to as: </w:t>
            </w:r>
            <w:r w:rsidRPr="002F1201">
              <w:rPr>
                <w:rFonts w:asciiTheme="minorHAnsi" w:hAnsiTheme="minorHAnsi" w:cs="ArialMT"/>
                <w:sz w:val="20"/>
                <w:szCs w:val="20"/>
                <w:lang w:val="en-GB"/>
              </w:rPr>
              <w:t xml:space="preserve">CPBiI). </w:t>
            </w:r>
            <w:r w:rsidRPr="007421AA">
              <w:rPr>
                <w:rFonts w:asciiTheme="minorHAnsi" w:hAnsiTheme="minorHAnsi" w:cs="ArialMT"/>
                <w:sz w:val="20"/>
                <w:szCs w:val="20"/>
                <w:lang w:val="en-GB"/>
              </w:rPr>
              <w:t>The ordered Report will be written in Polish.</w:t>
            </w:r>
          </w:p>
          <w:p w14:paraId="70C72EC9" w14:textId="0B53CAF6" w:rsidR="00C012F9" w:rsidRPr="002F1201" w:rsidRDefault="00C012F9" w:rsidP="00C012F9">
            <w:pPr>
              <w:pStyle w:val="Akapitzlist"/>
              <w:numPr>
                <w:ilvl w:val="0"/>
                <w:numId w:val="2"/>
              </w:numPr>
              <w:autoSpaceDE w:val="0"/>
              <w:autoSpaceDN w:val="0"/>
              <w:adjustRightInd w:val="0"/>
              <w:spacing w:before="60" w:after="60" w:line="240" w:lineRule="auto"/>
              <w:ind w:left="351" w:hanging="357"/>
              <w:contextualSpacing w:val="0"/>
              <w:jc w:val="both"/>
              <w:rPr>
                <w:rFonts w:asciiTheme="minorHAnsi" w:hAnsiTheme="minorHAnsi" w:cs="ArialMT"/>
                <w:sz w:val="20"/>
                <w:szCs w:val="20"/>
                <w:lang w:val="en-GB"/>
              </w:rPr>
            </w:pPr>
            <w:r w:rsidRPr="002F1201">
              <w:rPr>
                <w:rFonts w:asciiTheme="minorHAnsi" w:hAnsiTheme="minorHAnsi" w:cs="ArialMT"/>
                <w:sz w:val="20"/>
                <w:szCs w:val="20"/>
                <w:lang w:val="en-GB"/>
              </w:rPr>
              <w:t xml:space="preserve">I declare that I will enable a person holding a valuation licence or construction qualifications acting on behalf of CPBiI to visit the property, I will provide that person with necessary documents and I shall give any information or explanations necessary for the Report. </w:t>
            </w:r>
          </w:p>
          <w:p w14:paraId="52C2D259" w14:textId="02FD4C7F" w:rsidR="004C18E8" w:rsidRPr="002F1201" w:rsidRDefault="00C012F9" w:rsidP="00905BEF">
            <w:pPr>
              <w:pStyle w:val="Akapitzlist"/>
              <w:numPr>
                <w:ilvl w:val="0"/>
                <w:numId w:val="2"/>
              </w:numPr>
              <w:autoSpaceDE w:val="0"/>
              <w:autoSpaceDN w:val="0"/>
              <w:adjustRightInd w:val="0"/>
              <w:spacing w:before="60" w:after="0" w:line="240" w:lineRule="auto"/>
              <w:ind w:left="278" w:hanging="284"/>
              <w:contextualSpacing w:val="0"/>
              <w:jc w:val="both"/>
              <w:rPr>
                <w:rFonts w:asciiTheme="minorHAnsi" w:hAnsiTheme="minorHAnsi" w:cs="ArialMT"/>
                <w:sz w:val="20"/>
                <w:szCs w:val="20"/>
                <w:lang w:val="en-GB"/>
              </w:rPr>
            </w:pPr>
            <w:r w:rsidRPr="002F1201">
              <w:rPr>
                <w:rFonts w:asciiTheme="minorHAnsi" w:hAnsiTheme="minorHAnsi" w:cs="ArialMT"/>
                <w:sz w:val="20"/>
                <w:szCs w:val="20"/>
                <w:lang w:val="en-GB"/>
              </w:rPr>
              <w:t>I was informed that the data on valu</w:t>
            </w:r>
            <w:r w:rsidR="007421AA">
              <w:rPr>
                <w:rFonts w:asciiTheme="minorHAnsi" w:hAnsiTheme="minorHAnsi" w:cs="ArialMT"/>
                <w:sz w:val="20"/>
                <w:szCs w:val="20"/>
                <w:lang w:val="en-GB"/>
              </w:rPr>
              <w:t>at</w:t>
            </w:r>
            <w:r w:rsidRPr="002F1201">
              <w:rPr>
                <w:rFonts w:asciiTheme="minorHAnsi" w:hAnsiTheme="minorHAnsi" w:cs="ArialMT"/>
                <w:sz w:val="20"/>
                <w:szCs w:val="20"/>
                <w:lang w:val="en-GB"/>
              </w:rPr>
              <w:t xml:space="preserve">ed property, including its value estimated in the Report, will be entered into the AMRON database. </w:t>
            </w:r>
          </w:p>
          <w:p w14:paraId="53254DC3" w14:textId="5D11AB6E" w:rsidR="006936FE" w:rsidRPr="002F1201" w:rsidRDefault="00C012F9" w:rsidP="00905BEF">
            <w:pPr>
              <w:pStyle w:val="Akapitzlist"/>
              <w:numPr>
                <w:ilvl w:val="0"/>
                <w:numId w:val="2"/>
              </w:numPr>
              <w:autoSpaceDE w:val="0"/>
              <w:autoSpaceDN w:val="0"/>
              <w:adjustRightInd w:val="0"/>
              <w:spacing w:before="60" w:after="0" w:line="240" w:lineRule="auto"/>
              <w:ind w:left="278" w:hanging="284"/>
              <w:contextualSpacing w:val="0"/>
              <w:jc w:val="both"/>
              <w:rPr>
                <w:rFonts w:asciiTheme="minorHAnsi" w:hAnsiTheme="minorHAnsi" w:cs="ArialMT"/>
                <w:i/>
                <w:iCs/>
                <w:sz w:val="20"/>
                <w:szCs w:val="20"/>
                <w:lang w:val="en-GB"/>
              </w:rPr>
            </w:pPr>
            <w:r w:rsidRPr="002F1201">
              <w:rPr>
                <w:rFonts w:asciiTheme="minorHAnsi" w:hAnsiTheme="minorHAnsi" w:cs="ArialMT"/>
                <w:sz w:val="20"/>
                <w:szCs w:val="20"/>
                <w:lang w:val="en-GB"/>
              </w:rPr>
              <w:t xml:space="preserve">I agree/ I do not agree* to receive commercial and marketing information in form of electronic mails sent by CPBiI on </w:t>
            </w:r>
            <w:r w:rsidR="007421AA">
              <w:rPr>
                <w:rFonts w:asciiTheme="minorHAnsi" w:hAnsiTheme="minorHAnsi" w:cs="ArialMT"/>
                <w:sz w:val="20"/>
                <w:szCs w:val="20"/>
                <w:lang w:val="en-GB"/>
              </w:rPr>
              <w:t>my</w:t>
            </w:r>
            <w:r w:rsidRPr="002F1201">
              <w:rPr>
                <w:rFonts w:asciiTheme="minorHAnsi" w:hAnsiTheme="minorHAnsi" w:cs="ArialMT"/>
                <w:sz w:val="20"/>
                <w:szCs w:val="20"/>
                <w:lang w:val="en-GB"/>
              </w:rPr>
              <w:t xml:space="preserve"> e-mail address, in accordance with art. 10 of the Act on Electronic Services (Official Journal of Laws 2002 item 1907 as</w:t>
            </w:r>
            <w:r w:rsidR="007421AA">
              <w:rPr>
                <w:rFonts w:asciiTheme="minorHAnsi" w:hAnsiTheme="minorHAnsi" w:cs="ArialMT"/>
                <w:sz w:val="20"/>
                <w:szCs w:val="20"/>
                <w:lang w:val="en-GB"/>
              </w:rPr>
              <w:t> </w:t>
            </w:r>
            <w:r w:rsidRPr="002F1201">
              <w:rPr>
                <w:rFonts w:asciiTheme="minorHAnsi" w:hAnsiTheme="minorHAnsi" w:cs="ArialMT"/>
                <w:sz w:val="20"/>
                <w:szCs w:val="20"/>
                <w:lang w:val="en-GB"/>
              </w:rPr>
              <w:t xml:space="preserve">amended). </w:t>
            </w:r>
            <w:r w:rsidRPr="002F1201">
              <w:rPr>
                <w:rFonts w:asciiTheme="minorHAnsi" w:hAnsiTheme="minorHAnsi" w:cs="ArialMT"/>
                <w:sz w:val="18"/>
                <w:szCs w:val="18"/>
                <w:lang w:val="en-GB"/>
              </w:rPr>
              <w:t>[* delete where inapplicable</w:t>
            </w:r>
            <w:r w:rsidR="00905BEF" w:rsidRPr="002F1201">
              <w:rPr>
                <w:rFonts w:asciiTheme="minorHAnsi" w:hAnsiTheme="minorHAnsi" w:cs="ArialMT"/>
                <w:sz w:val="18"/>
                <w:szCs w:val="18"/>
                <w:lang w:val="en-GB"/>
              </w:rPr>
              <w:t>]</w:t>
            </w:r>
          </w:p>
        </w:tc>
      </w:tr>
      <w:tr w:rsidR="004C18E8" w:rsidRPr="002F1201" w14:paraId="5235F8F6" w14:textId="77777777" w:rsidTr="003436B3">
        <w:trPr>
          <w:gridAfter w:val="1"/>
          <w:wAfter w:w="170" w:type="dxa"/>
          <w:trHeight w:val="267"/>
        </w:trPr>
        <w:tc>
          <w:tcPr>
            <w:tcW w:w="10349" w:type="dxa"/>
            <w:gridSpan w:val="5"/>
            <w:shd w:val="clear" w:color="auto" w:fill="EDEDED" w:themeFill="accent3" w:themeFillTint="33"/>
          </w:tcPr>
          <w:p w14:paraId="7D662212" w14:textId="53D96282" w:rsidR="004C18E8" w:rsidRPr="002F1201" w:rsidRDefault="00226DA6" w:rsidP="007973FB">
            <w:pPr>
              <w:spacing w:before="60" w:after="60"/>
              <w:rPr>
                <w:rFonts w:asciiTheme="minorHAnsi" w:hAnsiTheme="minorHAnsi"/>
                <w:sz w:val="21"/>
                <w:szCs w:val="21"/>
                <w:lang w:val="en-GB"/>
              </w:rPr>
            </w:pPr>
            <w:r w:rsidRPr="002F1201">
              <w:rPr>
                <w:lang w:val="en-GB"/>
              </w:rPr>
              <w:br w:type="page"/>
            </w:r>
            <w:r w:rsidR="004C18E8" w:rsidRPr="002F1201">
              <w:rPr>
                <w:rFonts w:asciiTheme="minorHAnsi" w:hAnsiTheme="minorHAnsi"/>
                <w:sz w:val="21"/>
                <w:szCs w:val="21"/>
                <w:lang w:val="en-GB"/>
              </w:rPr>
              <w:t xml:space="preserve">12. </w:t>
            </w:r>
            <w:r w:rsidR="00C012F9" w:rsidRPr="002F1201">
              <w:rPr>
                <w:rFonts w:ascii="Calibri" w:hAnsi="Calibri"/>
                <w:color w:val="262626"/>
                <w:sz w:val="21"/>
                <w:szCs w:val="21"/>
                <w:lang w:val="en-GB"/>
              </w:rPr>
              <w:t>INFORMATION ON PERSONAL DATA PROCESSING</w:t>
            </w:r>
            <w:r w:rsidR="004C18E8" w:rsidRPr="002F1201">
              <w:rPr>
                <w:rFonts w:asciiTheme="minorHAnsi" w:hAnsiTheme="minorHAnsi"/>
                <w:sz w:val="21"/>
                <w:szCs w:val="21"/>
                <w:lang w:val="en-GB"/>
              </w:rPr>
              <w:t>:</w:t>
            </w:r>
          </w:p>
        </w:tc>
      </w:tr>
      <w:tr w:rsidR="00905BEF" w:rsidRPr="002F1201" w14:paraId="39AE0323" w14:textId="77777777" w:rsidTr="0045373E">
        <w:trPr>
          <w:gridAfter w:val="1"/>
          <w:wAfter w:w="170" w:type="dxa"/>
          <w:trHeight w:val="1308"/>
        </w:trPr>
        <w:tc>
          <w:tcPr>
            <w:tcW w:w="10349" w:type="dxa"/>
            <w:gridSpan w:val="5"/>
            <w:shd w:val="clear" w:color="auto" w:fill="auto"/>
          </w:tcPr>
          <w:p w14:paraId="66069DE0" w14:textId="21D9D4FE" w:rsidR="00C012F9" w:rsidRPr="002F1201" w:rsidRDefault="00C012F9" w:rsidP="00261694">
            <w:pPr>
              <w:spacing w:before="100" w:after="60"/>
              <w:jc w:val="both"/>
              <w:rPr>
                <w:rFonts w:ascii="Calibri" w:hAnsi="Calibri"/>
                <w:color w:val="262626"/>
                <w:sz w:val="20"/>
                <w:lang w:val="en-GB"/>
              </w:rPr>
            </w:pPr>
            <w:r w:rsidRPr="002F1201">
              <w:rPr>
                <w:rFonts w:ascii="Calibri" w:hAnsi="Calibri"/>
                <w:color w:val="262626"/>
                <w:sz w:val="20"/>
                <w:lang w:val="en-GB"/>
              </w:rPr>
              <w:t>Under the article 13 of the Regulation (EU) 2016/679 of the European Parliament and of the Council of 27 April 2016 on protection of natural persons with regard to the processing of personal data and on the free movement of such data, and repealing Directive 95/46/EC (General Data Protection Regulation, hereinafter referred to as GDPR), CPBiI informs as</w:t>
            </w:r>
            <w:r w:rsidR="00261694" w:rsidRPr="002F1201">
              <w:rPr>
                <w:rFonts w:ascii="Calibri" w:hAnsi="Calibri"/>
                <w:color w:val="262626"/>
                <w:sz w:val="20"/>
                <w:lang w:val="en-GB"/>
              </w:rPr>
              <w:t> </w:t>
            </w:r>
            <w:r w:rsidRPr="002F1201">
              <w:rPr>
                <w:rFonts w:ascii="Calibri" w:hAnsi="Calibri"/>
                <w:color w:val="262626"/>
                <w:sz w:val="20"/>
                <w:lang w:val="en-GB"/>
              </w:rPr>
              <w:t xml:space="preserve">follows: </w:t>
            </w:r>
          </w:p>
          <w:p w14:paraId="5C86C7DB" w14:textId="26D75266" w:rsidR="0045373E" w:rsidRPr="002F1201" w:rsidRDefault="00C012F9" w:rsidP="00C74388">
            <w:pPr>
              <w:pStyle w:val="Akapitzlist"/>
              <w:numPr>
                <w:ilvl w:val="0"/>
                <w:numId w:val="21"/>
              </w:numPr>
              <w:spacing w:before="40" w:after="0" w:line="240" w:lineRule="auto"/>
              <w:ind w:left="312" w:hanging="284"/>
              <w:contextualSpacing w:val="0"/>
              <w:jc w:val="both"/>
              <w:rPr>
                <w:color w:val="262626"/>
                <w:sz w:val="20"/>
                <w:szCs w:val="20"/>
                <w:lang w:val="en-GB"/>
              </w:rPr>
            </w:pPr>
            <w:r w:rsidRPr="002F1201">
              <w:rPr>
                <w:color w:val="262626"/>
                <w:sz w:val="20"/>
                <w:szCs w:val="20"/>
                <w:lang w:val="en-GB"/>
              </w:rPr>
              <w:t xml:space="preserve">Controller of the personal data included in this form is </w:t>
            </w:r>
            <w:r w:rsidRPr="002F1201">
              <w:rPr>
                <w:rFonts w:asciiTheme="minorHAnsi" w:hAnsiTheme="minorHAnsi" w:cs="ArialMT"/>
                <w:sz w:val="20"/>
                <w:szCs w:val="20"/>
                <w:lang w:val="en-GB"/>
              </w:rPr>
              <w:t>Centre of Banking Law and Information (</w:t>
            </w:r>
            <w:r w:rsidRPr="002F1201">
              <w:rPr>
                <w:color w:val="262626"/>
                <w:sz w:val="20"/>
                <w:szCs w:val="20"/>
                <w:lang w:val="en-GB"/>
              </w:rPr>
              <w:t xml:space="preserve">Centrum </w:t>
            </w:r>
            <w:proofErr w:type="spellStart"/>
            <w:r w:rsidRPr="002F1201">
              <w:rPr>
                <w:color w:val="262626"/>
                <w:sz w:val="20"/>
                <w:szCs w:val="20"/>
                <w:lang w:val="en-GB"/>
              </w:rPr>
              <w:t>Prawa</w:t>
            </w:r>
            <w:proofErr w:type="spellEnd"/>
            <w:r w:rsidRPr="002F1201">
              <w:rPr>
                <w:color w:val="262626"/>
                <w:sz w:val="20"/>
                <w:szCs w:val="20"/>
                <w:lang w:val="en-GB"/>
              </w:rPr>
              <w:t xml:space="preserve"> </w:t>
            </w:r>
            <w:proofErr w:type="spellStart"/>
            <w:r w:rsidRPr="002F1201">
              <w:rPr>
                <w:color w:val="262626"/>
                <w:sz w:val="20"/>
                <w:szCs w:val="20"/>
                <w:lang w:val="en-GB"/>
              </w:rPr>
              <w:t>Bankowego</w:t>
            </w:r>
            <w:proofErr w:type="spellEnd"/>
            <w:r w:rsidRPr="002F1201">
              <w:rPr>
                <w:color w:val="262626"/>
                <w:sz w:val="20"/>
                <w:szCs w:val="20"/>
                <w:lang w:val="en-GB"/>
              </w:rPr>
              <w:t xml:space="preserve"> </w:t>
            </w:r>
            <w:proofErr w:type="spellStart"/>
            <w:r w:rsidRPr="002F1201">
              <w:rPr>
                <w:color w:val="262626"/>
                <w:sz w:val="20"/>
                <w:szCs w:val="20"/>
                <w:lang w:val="en-GB"/>
              </w:rPr>
              <w:t>i</w:t>
            </w:r>
            <w:proofErr w:type="spellEnd"/>
            <w:r w:rsidRPr="002F1201">
              <w:rPr>
                <w:color w:val="262626"/>
                <w:sz w:val="20"/>
                <w:szCs w:val="20"/>
                <w:lang w:val="en-GB"/>
              </w:rPr>
              <w:t> </w:t>
            </w:r>
            <w:proofErr w:type="spellStart"/>
            <w:r w:rsidRPr="002F1201">
              <w:rPr>
                <w:color w:val="262626"/>
                <w:sz w:val="20"/>
                <w:szCs w:val="20"/>
                <w:lang w:val="en-GB"/>
              </w:rPr>
              <w:t>Informacji</w:t>
            </w:r>
            <w:proofErr w:type="spellEnd"/>
            <w:r w:rsidRPr="002F1201">
              <w:rPr>
                <w:color w:val="262626"/>
                <w:sz w:val="20"/>
                <w:szCs w:val="20"/>
                <w:lang w:val="en-GB"/>
              </w:rPr>
              <w:t xml:space="preserve"> Sp. z </w:t>
            </w:r>
            <w:proofErr w:type="spellStart"/>
            <w:r w:rsidRPr="002F1201">
              <w:rPr>
                <w:color w:val="262626"/>
                <w:sz w:val="20"/>
                <w:szCs w:val="20"/>
                <w:lang w:val="en-GB"/>
              </w:rPr>
              <w:t>o.o</w:t>
            </w:r>
            <w:proofErr w:type="spellEnd"/>
            <w:r w:rsidRPr="002F1201">
              <w:rPr>
                <w:color w:val="262626"/>
                <w:sz w:val="20"/>
                <w:szCs w:val="20"/>
                <w:lang w:val="en-GB"/>
              </w:rPr>
              <w:t xml:space="preserve">.) with registered office at the following address: ul. Leona </w:t>
            </w:r>
            <w:proofErr w:type="spellStart"/>
            <w:r w:rsidRPr="002F1201">
              <w:rPr>
                <w:color w:val="262626"/>
                <w:sz w:val="20"/>
                <w:szCs w:val="20"/>
                <w:lang w:val="en-GB"/>
              </w:rPr>
              <w:t>Kruczkowskiego</w:t>
            </w:r>
            <w:proofErr w:type="spellEnd"/>
            <w:r w:rsidRPr="002F1201">
              <w:rPr>
                <w:color w:val="262626"/>
                <w:sz w:val="20"/>
                <w:szCs w:val="20"/>
                <w:lang w:val="en-GB"/>
              </w:rPr>
              <w:t xml:space="preserve"> 8, 00-380 Warszawa</w:t>
            </w:r>
            <w:r w:rsidR="0045373E" w:rsidRPr="002F1201">
              <w:rPr>
                <w:color w:val="262626"/>
                <w:sz w:val="20"/>
                <w:szCs w:val="20"/>
                <w:lang w:val="en-GB"/>
              </w:rPr>
              <w:t xml:space="preserve">. </w:t>
            </w:r>
          </w:p>
        </w:tc>
      </w:tr>
      <w:tr w:rsidR="004C18E8" w:rsidRPr="002F1201" w14:paraId="54534C82" w14:textId="77777777" w:rsidTr="00997478">
        <w:trPr>
          <w:gridAfter w:val="1"/>
          <w:wAfter w:w="170" w:type="dxa"/>
          <w:trHeight w:val="13606"/>
        </w:trPr>
        <w:tc>
          <w:tcPr>
            <w:tcW w:w="10349" w:type="dxa"/>
            <w:gridSpan w:val="5"/>
          </w:tcPr>
          <w:p w14:paraId="6407EF3F" w14:textId="6663DA66" w:rsidR="00C012F9" w:rsidRPr="002F1201" w:rsidRDefault="00C012F9" w:rsidP="00C012F9">
            <w:pPr>
              <w:pStyle w:val="Akapitzlist"/>
              <w:numPr>
                <w:ilvl w:val="0"/>
                <w:numId w:val="21"/>
              </w:numPr>
              <w:spacing w:before="40" w:after="0" w:line="240" w:lineRule="auto"/>
              <w:ind w:left="312" w:hanging="284"/>
              <w:contextualSpacing w:val="0"/>
              <w:jc w:val="both"/>
              <w:rPr>
                <w:color w:val="262626"/>
                <w:sz w:val="20"/>
                <w:szCs w:val="20"/>
                <w:lang w:val="en-GB"/>
              </w:rPr>
            </w:pPr>
            <w:r w:rsidRPr="002F1201">
              <w:rPr>
                <w:color w:val="262626"/>
                <w:sz w:val="20"/>
                <w:szCs w:val="20"/>
                <w:lang w:val="en-GB"/>
              </w:rPr>
              <w:lastRenderedPageBreak/>
              <w:t>In all matters related to data processing and your rights concerned with processing your data by CPBiI you may contact a </w:t>
            </w:r>
            <w:r w:rsidR="00655645" w:rsidRPr="002F1201">
              <w:rPr>
                <w:color w:val="262626"/>
                <w:sz w:val="20"/>
                <w:szCs w:val="20"/>
                <w:lang w:val="en-GB"/>
              </w:rPr>
              <w:t>CPBiI</w:t>
            </w:r>
            <w:r w:rsidRPr="002F1201">
              <w:rPr>
                <w:color w:val="262626"/>
                <w:sz w:val="20"/>
                <w:szCs w:val="20"/>
                <w:lang w:val="en-GB"/>
              </w:rPr>
              <w:t xml:space="preserve"> Data Protection Officer by an e-mail sent </w:t>
            </w:r>
            <w:r w:rsidR="00997478">
              <w:rPr>
                <w:color w:val="262626"/>
                <w:sz w:val="20"/>
                <w:szCs w:val="20"/>
                <w:lang w:val="en-GB"/>
              </w:rPr>
              <w:t>at</w:t>
            </w:r>
            <w:r w:rsidRPr="002F1201">
              <w:rPr>
                <w:color w:val="262626"/>
                <w:sz w:val="20"/>
                <w:szCs w:val="20"/>
                <w:lang w:val="en-GB"/>
              </w:rPr>
              <w:t xml:space="preserve"> </w:t>
            </w:r>
            <w:hyperlink r:id="rId8" w:history="1">
              <w:r w:rsidRPr="002F1201">
                <w:rPr>
                  <w:rStyle w:val="Hipercze"/>
                  <w:sz w:val="20"/>
                  <w:szCs w:val="20"/>
                  <w:lang w:val="en-GB"/>
                </w:rPr>
                <w:t>iod@cpb.pl</w:t>
              </w:r>
            </w:hyperlink>
            <w:r w:rsidRPr="002F1201">
              <w:rPr>
                <w:color w:val="262626"/>
                <w:sz w:val="20"/>
                <w:szCs w:val="20"/>
                <w:lang w:val="en-GB"/>
              </w:rPr>
              <w:t xml:space="preserve"> or by traditional mail sent at the </w:t>
            </w:r>
            <w:r w:rsidR="00655645" w:rsidRPr="002F1201">
              <w:rPr>
                <w:color w:val="262626"/>
                <w:sz w:val="20"/>
                <w:szCs w:val="20"/>
                <w:lang w:val="en-GB"/>
              </w:rPr>
              <w:t>CPBiI’s</w:t>
            </w:r>
            <w:r w:rsidRPr="002F1201">
              <w:rPr>
                <w:color w:val="262626"/>
                <w:sz w:val="20"/>
                <w:szCs w:val="20"/>
                <w:lang w:val="en-GB"/>
              </w:rPr>
              <w:t xml:space="preserve"> official address. </w:t>
            </w:r>
          </w:p>
          <w:p w14:paraId="55AC16D8" w14:textId="77777777" w:rsidR="00655645" w:rsidRPr="002F1201" w:rsidRDefault="00655645" w:rsidP="00655645">
            <w:pPr>
              <w:pStyle w:val="Akapitzlist"/>
              <w:numPr>
                <w:ilvl w:val="0"/>
                <w:numId w:val="21"/>
              </w:numPr>
              <w:spacing w:before="40" w:after="0" w:line="240" w:lineRule="auto"/>
              <w:ind w:left="312" w:hanging="284"/>
              <w:contextualSpacing w:val="0"/>
              <w:jc w:val="both"/>
              <w:rPr>
                <w:color w:val="262626"/>
                <w:sz w:val="20"/>
                <w:szCs w:val="20"/>
                <w:lang w:val="en-GB"/>
              </w:rPr>
            </w:pPr>
            <w:r w:rsidRPr="002F1201">
              <w:rPr>
                <w:color w:val="262626"/>
                <w:sz w:val="20"/>
                <w:szCs w:val="20"/>
                <w:lang w:val="en-GB"/>
              </w:rPr>
              <w:t>Your personal data will be processed only for the following purposes:</w:t>
            </w:r>
          </w:p>
          <w:p w14:paraId="45F541D9" w14:textId="77777777"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to conclude or to execute the contract with the Orderer - a commercial law company represented by a person, whose personal data are included in this form (on the basis of the article 6 paragraph 1.f of GDPR);</w:t>
            </w:r>
          </w:p>
          <w:p w14:paraId="6CEBF274" w14:textId="77777777"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to conclude or to execute the contract with the Orderer - a natural person (on the basis of the article 6 paragraph 1.b of GDPR);</w:t>
            </w:r>
          </w:p>
          <w:p w14:paraId="32C13710" w14:textId="04FB9656"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to provide you with commercial e-mails that include information on our offer and services or products </w:t>
            </w:r>
            <w:r w:rsidR="007421AA">
              <w:rPr>
                <w:color w:val="262626"/>
                <w:sz w:val="20"/>
                <w:szCs w:val="20"/>
                <w:lang w:val="en-GB"/>
              </w:rPr>
              <w:t xml:space="preserve">provided by CPBiI </w:t>
            </w:r>
            <w:r w:rsidRPr="002F1201">
              <w:rPr>
                <w:color w:val="262626"/>
                <w:sz w:val="20"/>
                <w:szCs w:val="20"/>
                <w:lang w:val="en-GB"/>
              </w:rPr>
              <w:t>(so-called direct marketing – on the basis of the article 6 paragraph 1b and 1f of GDPR in connection with art. 10 of the Act on Electronic Services);</w:t>
            </w:r>
          </w:p>
          <w:p w14:paraId="396A4272" w14:textId="11979457"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to conduct regular operations related to </w:t>
            </w:r>
            <w:r w:rsidR="005A664D" w:rsidRPr="002F1201">
              <w:rPr>
                <w:color w:val="262626"/>
                <w:sz w:val="20"/>
                <w:szCs w:val="20"/>
                <w:lang w:val="en-GB"/>
              </w:rPr>
              <w:t>CPBiI</w:t>
            </w:r>
            <w:r w:rsidRPr="002F1201">
              <w:rPr>
                <w:color w:val="262626"/>
                <w:sz w:val="20"/>
                <w:szCs w:val="20"/>
                <w:lang w:val="en-GB"/>
              </w:rPr>
              <w:t xml:space="preserve">’s business activity in a manner compliant with generally binding legal provisions, in particular to </w:t>
            </w:r>
            <w:r w:rsidR="005A664D" w:rsidRPr="002F1201">
              <w:rPr>
                <w:color w:val="262626"/>
                <w:sz w:val="20"/>
                <w:szCs w:val="20"/>
                <w:lang w:val="en-GB"/>
              </w:rPr>
              <w:t>CPBiI</w:t>
            </w:r>
            <w:r w:rsidRPr="002F1201">
              <w:rPr>
                <w:color w:val="262626"/>
                <w:sz w:val="20"/>
                <w:szCs w:val="20"/>
                <w:lang w:val="en-GB"/>
              </w:rPr>
              <w:t xml:space="preserve">’s duties resulting from tax and accounting regulations, as well as from regulations on conducting the investigations by entitled bodies (on the basis of article 6 paragraph 1.c of GDPR); </w:t>
            </w:r>
          </w:p>
          <w:p w14:paraId="3C83DCE4" w14:textId="77777777"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for purposes related to possible defence of legal claims, claims compensations and redress procedures (on the basis of the article 6 paragraph 1.f of GDPR); </w:t>
            </w:r>
          </w:p>
          <w:p w14:paraId="29BDE9A0" w14:textId="77777777" w:rsidR="00655645" w:rsidRPr="002F1201" w:rsidRDefault="00655645" w:rsidP="005A664D">
            <w:pPr>
              <w:pStyle w:val="Akapitzlist"/>
              <w:numPr>
                <w:ilvl w:val="0"/>
                <w:numId w:val="5"/>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for archiving purposes (purposes of proof) aiming at securing the documentary evidence for future need to prove facts or to prove PBA’s compliance with formal obligations (on the basis of the article 6 paragraph 1.f of GDPR).</w:t>
            </w:r>
          </w:p>
          <w:p w14:paraId="75B86DF2" w14:textId="77777777" w:rsidR="00655645" w:rsidRPr="002F1201" w:rsidRDefault="00655645" w:rsidP="00655645">
            <w:pPr>
              <w:pStyle w:val="Akapitzlist"/>
              <w:numPr>
                <w:ilvl w:val="0"/>
                <w:numId w:val="21"/>
              </w:numPr>
              <w:spacing w:before="40" w:after="0" w:line="240" w:lineRule="auto"/>
              <w:ind w:left="312" w:hanging="284"/>
              <w:contextualSpacing w:val="0"/>
              <w:jc w:val="both"/>
              <w:rPr>
                <w:color w:val="262626"/>
                <w:sz w:val="20"/>
                <w:szCs w:val="20"/>
                <w:lang w:val="en-GB"/>
              </w:rPr>
            </w:pPr>
            <w:r w:rsidRPr="002F1201">
              <w:rPr>
                <w:color w:val="262626"/>
                <w:sz w:val="20"/>
                <w:szCs w:val="20"/>
                <w:lang w:val="en-GB"/>
              </w:rPr>
              <w:t xml:space="preserve">The time of processing of personal data is dependent on the purpose and is determined basing on the following criteria: </w:t>
            </w:r>
          </w:p>
          <w:p w14:paraId="09CEF54C" w14:textId="6A1EFEBC" w:rsidR="005A664D" w:rsidRPr="002F1201" w:rsidRDefault="005A664D" w:rsidP="005A664D">
            <w:pPr>
              <w:pStyle w:val="Akapitzlist"/>
              <w:numPr>
                <w:ilvl w:val="0"/>
                <w:numId w:val="27"/>
              </w:numPr>
              <w:spacing w:before="20" w:after="0" w:line="240" w:lineRule="auto"/>
              <w:ind w:left="602" w:hanging="284"/>
              <w:contextualSpacing w:val="0"/>
              <w:jc w:val="both"/>
              <w:rPr>
                <w:color w:val="262626"/>
                <w:sz w:val="20"/>
                <w:szCs w:val="20"/>
                <w:lang w:val="en-GB"/>
              </w:rPr>
            </w:pPr>
            <w:r w:rsidRPr="002F1201">
              <w:rPr>
                <w:color w:val="262626"/>
                <w:sz w:val="19"/>
                <w:szCs w:val="19"/>
                <w:lang w:val="en-GB"/>
              </w:rPr>
              <w:t xml:space="preserve">in purpose to elaborate an ordered Report: for the time of contract duration; </w:t>
            </w:r>
          </w:p>
          <w:p w14:paraId="3F5EE06A" w14:textId="03ECA260" w:rsidR="00655645" w:rsidRPr="00997478" w:rsidRDefault="00655645" w:rsidP="005A664D">
            <w:pPr>
              <w:pStyle w:val="Akapitzlist"/>
              <w:numPr>
                <w:ilvl w:val="0"/>
                <w:numId w:val="27"/>
              </w:numPr>
              <w:spacing w:before="20" w:after="0" w:line="240" w:lineRule="auto"/>
              <w:ind w:left="602" w:hanging="284"/>
              <w:contextualSpacing w:val="0"/>
              <w:jc w:val="both"/>
              <w:rPr>
                <w:color w:val="262626"/>
                <w:sz w:val="19"/>
                <w:szCs w:val="19"/>
                <w:lang w:val="en-GB"/>
              </w:rPr>
            </w:pPr>
            <w:r w:rsidRPr="002F1201">
              <w:rPr>
                <w:color w:val="262626"/>
                <w:sz w:val="20"/>
                <w:szCs w:val="20"/>
                <w:lang w:val="en-GB"/>
              </w:rPr>
              <w:t xml:space="preserve">in case of tax and accounting purposes: 5 years starting from the beginning of the year following the end of the accounting year, in which business </w:t>
            </w:r>
            <w:r w:rsidRPr="00997478">
              <w:rPr>
                <w:color w:val="262626"/>
                <w:sz w:val="19"/>
                <w:szCs w:val="19"/>
                <w:lang w:val="en-GB"/>
              </w:rPr>
              <w:t xml:space="preserve">operations, transactions or proceedings related to the contract were definitively completed, repaid, settled or outdated and in which the tax obligation related </w:t>
            </w:r>
            <w:r w:rsidR="00702643" w:rsidRPr="00997478">
              <w:rPr>
                <w:color w:val="262626"/>
                <w:sz w:val="19"/>
                <w:szCs w:val="19"/>
                <w:lang w:val="en-GB"/>
              </w:rPr>
              <w:t>to</w:t>
            </w:r>
            <w:r w:rsidRPr="00997478">
              <w:rPr>
                <w:color w:val="262626"/>
                <w:sz w:val="19"/>
                <w:szCs w:val="19"/>
                <w:lang w:val="en-GB"/>
              </w:rPr>
              <w:t xml:space="preserve"> contract’s settlements became chargeable;  </w:t>
            </w:r>
          </w:p>
          <w:p w14:paraId="35D413F5" w14:textId="4B5CFFA8" w:rsidR="00655645" w:rsidRPr="002F1201" w:rsidRDefault="00655645" w:rsidP="005A664D">
            <w:pPr>
              <w:pStyle w:val="Akapitzlist"/>
              <w:numPr>
                <w:ilvl w:val="0"/>
                <w:numId w:val="27"/>
              </w:numPr>
              <w:spacing w:before="20" w:after="0" w:line="240" w:lineRule="auto"/>
              <w:ind w:left="602" w:hanging="284"/>
              <w:contextualSpacing w:val="0"/>
              <w:jc w:val="both"/>
              <w:rPr>
                <w:color w:val="262626"/>
                <w:sz w:val="20"/>
                <w:szCs w:val="20"/>
                <w:lang w:val="en-GB"/>
              </w:rPr>
            </w:pPr>
            <w:r w:rsidRPr="00997478">
              <w:rPr>
                <w:color w:val="262626"/>
                <w:sz w:val="19"/>
                <w:szCs w:val="19"/>
                <w:lang w:val="en-GB"/>
              </w:rPr>
              <w:t xml:space="preserve">in scope of </w:t>
            </w:r>
            <w:r w:rsidR="005A664D" w:rsidRPr="00997478">
              <w:rPr>
                <w:color w:val="262626"/>
                <w:sz w:val="19"/>
                <w:szCs w:val="19"/>
                <w:lang w:val="en-GB"/>
              </w:rPr>
              <w:t>CPBiI</w:t>
            </w:r>
            <w:r w:rsidRPr="00997478">
              <w:rPr>
                <w:color w:val="262626"/>
                <w:sz w:val="19"/>
                <w:szCs w:val="19"/>
                <w:lang w:val="en-GB"/>
              </w:rPr>
              <w:t>’s obligations resulting</w:t>
            </w:r>
            <w:r w:rsidRPr="002F1201">
              <w:rPr>
                <w:color w:val="262626"/>
                <w:sz w:val="20"/>
                <w:szCs w:val="20"/>
                <w:lang w:val="en-GB"/>
              </w:rPr>
              <w:t xml:space="preserve"> from the generally applicable legislation: for the time determined in that legislation; </w:t>
            </w:r>
          </w:p>
          <w:p w14:paraId="240E627E" w14:textId="77777777" w:rsidR="00655645" w:rsidRPr="002F1201" w:rsidRDefault="00655645" w:rsidP="005A664D">
            <w:pPr>
              <w:pStyle w:val="Akapitzlist"/>
              <w:numPr>
                <w:ilvl w:val="0"/>
                <w:numId w:val="27"/>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in case of promotion and marketing purposes: until the consent has been withdrawn by the data subject; </w:t>
            </w:r>
          </w:p>
          <w:p w14:paraId="56E52FFF" w14:textId="04C42D29" w:rsidR="00655645" w:rsidRPr="002F1201" w:rsidRDefault="00655645" w:rsidP="005A664D">
            <w:pPr>
              <w:pStyle w:val="Akapitzlist"/>
              <w:numPr>
                <w:ilvl w:val="0"/>
                <w:numId w:val="27"/>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in scope of </w:t>
            </w:r>
            <w:r w:rsidR="005A664D" w:rsidRPr="002F1201">
              <w:rPr>
                <w:color w:val="262626"/>
                <w:sz w:val="20"/>
                <w:szCs w:val="20"/>
                <w:lang w:val="en-GB"/>
              </w:rPr>
              <w:t>CPBiI</w:t>
            </w:r>
            <w:r w:rsidRPr="002F1201">
              <w:rPr>
                <w:color w:val="262626"/>
                <w:sz w:val="20"/>
                <w:szCs w:val="20"/>
                <w:lang w:val="en-GB"/>
              </w:rPr>
              <w:t xml:space="preserve">’s legitimate interests: for the time necessary to fulfil that purpose or until the right to object has been exercised by the data subject, unless there are legitimate grounds for further data processing by </w:t>
            </w:r>
            <w:r w:rsidR="005A664D" w:rsidRPr="002F1201">
              <w:rPr>
                <w:color w:val="262626"/>
                <w:sz w:val="20"/>
                <w:szCs w:val="20"/>
                <w:lang w:val="en-GB"/>
              </w:rPr>
              <w:t>CPBiI</w:t>
            </w:r>
            <w:r w:rsidRPr="002F1201">
              <w:rPr>
                <w:color w:val="262626"/>
                <w:sz w:val="20"/>
                <w:szCs w:val="20"/>
                <w:lang w:val="en-GB"/>
              </w:rPr>
              <w:t>.</w:t>
            </w:r>
          </w:p>
          <w:p w14:paraId="13290909" w14:textId="5E849609" w:rsidR="00655645" w:rsidRPr="002F1201" w:rsidRDefault="00702643" w:rsidP="00655645">
            <w:pPr>
              <w:pStyle w:val="Akapitzlist"/>
              <w:numPr>
                <w:ilvl w:val="0"/>
                <w:numId w:val="21"/>
              </w:numPr>
              <w:spacing w:before="40" w:after="0" w:line="240" w:lineRule="auto"/>
              <w:ind w:left="312" w:hanging="284"/>
              <w:contextualSpacing w:val="0"/>
              <w:jc w:val="both"/>
              <w:rPr>
                <w:color w:val="262626"/>
                <w:sz w:val="20"/>
                <w:szCs w:val="20"/>
                <w:lang w:val="en-GB"/>
              </w:rPr>
            </w:pPr>
            <w:bookmarkStart w:id="0" w:name="mip35354854"/>
            <w:bookmarkEnd w:id="0"/>
            <w:r>
              <w:rPr>
                <w:color w:val="262626"/>
                <w:sz w:val="20"/>
                <w:szCs w:val="20"/>
                <w:lang w:val="en-GB"/>
              </w:rPr>
              <w:t>Your</w:t>
            </w:r>
            <w:r w:rsidR="00655645" w:rsidRPr="002F1201">
              <w:rPr>
                <w:color w:val="262626"/>
                <w:sz w:val="20"/>
                <w:szCs w:val="20"/>
                <w:lang w:val="en-GB"/>
              </w:rPr>
              <w:t xml:space="preserve"> personal data may be disclosed to: </w:t>
            </w:r>
          </w:p>
          <w:p w14:paraId="284C49E1" w14:textId="77777777" w:rsidR="00655645" w:rsidRPr="002F1201" w:rsidRDefault="00655645" w:rsidP="00261694">
            <w:pPr>
              <w:pStyle w:val="Akapitzlist"/>
              <w:numPr>
                <w:ilvl w:val="0"/>
                <w:numId w:val="28"/>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public authorities, institutions or third parties entitled to request for access or to have an access to personal data pursuant to binding legal provisions; </w:t>
            </w:r>
          </w:p>
          <w:p w14:paraId="2EFC79B6" w14:textId="101BB465" w:rsidR="005A664D" w:rsidRPr="002F1201" w:rsidRDefault="005A664D" w:rsidP="00261694">
            <w:pPr>
              <w:pStyle w:val="Akapitzlist"/>
              <w:numPr>
                <w:ilvl w:val="0"/>
                <w:numId w:val="28"/>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 xml:space="preserve">property valuators – subcontractors of CPBiI in scope of property valuation, </w:t>
            </w:r>
            <w:r w:rsidR="00B60A5B" w:rsidRPr="002F1201">
              <w:rPr>
                <w:color w:val="262626"/>
                <w:sz w:val="20"/>
                <w:szCs w:val="20"/>
                <w:lang w:val="en-GB"/>
              </w:rPr>
              <w:t>who process personal data on behalf of</w:t>
            </w:r>
            <w:r w:rsidR="00261694" w:rsidRPr="002F1201">
              <w:rPr>
                <w:color w:val="262626"/>
                <w:sz w:val="20"/>
                <w:szCs w:val="20"/>
                <w:lang w:val="en-GB"/>
              </w:rPr>
              <w:t> </w:t>
            </w:r>
            <w:r w:rsidR="00B60A5B" w:rsidRPr="002F1201">
              <w:rPr>
                <w:color w:val="262626"/>
                <w:sz w:val="20"/>
                <w:szCs w:val="20"/>
                <w:lang w:val="en-GB"/>
              </w:rPr>
              <w:t>CPBiI, only on CPBiI’s instructions and basing on separate agreement</w:t>
            </w:r>
            <w:r w:rsidR="00261694" w:rsidRPr="002F1201">
              <w:rPr>
                <w:color w:val="262626"/>
                <w:sz w:val="20"/>
                <w:szCs w:val="20"/>
                <w:lang w:val="en-GB"/>
              </w:rPr>
              <w:t>s</w:t>
            </w:r>
            <w:r w:rsidR="00B60A5B" w:rsidRPr="002F1201">
              <w:rPr>
                <w:color w:val="262626"/>
                <w:sz w:val="20"/>
                <w:szCs w:val="20"/>
                <w:lang w:val="en-GB"/>
              </w:rPr>
              <w:t xml:space="preserve"> that impose on subcontractors the same data protection obligations as obligations applicable to CPBiI under the provisions of law;</w:t>
            </w:r>
          </w:p>
          <w:p w14:paraId="6C2C0745" w14:textId="66D1C4B0" w:rsidR="005A664D" w:rsidRPr="002F1201" w:rsidRDefault="00B60A5B" w:rsidP="00261694">
            <w:pPr>
              <w:pStyle w:val="Akapitzlist"/>
              <w:numPr>
                <w:ilvl w:val="0"/>
                <w:numId w:val="28"/>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entities entitled to process personal data on the basis of separate agreements with CPBiI, i.a. IT suppliers, companies providing services related to e-mail marketing, debt recovery companies, external auditors, companies providing services of storage and destruction of documents, as well as providers of postal and courier services. The data will not be transferred outside of Poland;</w:t>
            </w:r>
          </w:p>
          <w:p w14:paraId="46721A7F" w14:textId="7DA37DC1" w:rsidR="005A664D" w:rsidRPr="002F1201" w:rsidRDefault="00B60A5B" w:rsidP="00261694">
            <w:pPr>
              <w:pStyle w:val="Akapitzlist"/>
              <w:numPr>
                <w:ilvl w:val="0"/>
                <w:numId w:val="28"/>
              </w:numPr>
              <w:spacing w:before="20" w:after="0" w:line="240" w:lineRule="auto"/>
              <w:ind w:left="602" w:hanging="284"/>
              <w:contextualSpacing w:val="0"/>
              <w:jc w:val="both"/>
              <w:rPr>
                <w:color w:val="262626"/>
                <w:sz w:val="20"/>
                <w:szCs w:val="20"/>
                <w:lang w:val="en-GB"/>
              </w:rPr>
            </w:pPr>
            <w:r w:rsidRPr="002F1201">
              <w:rPr>
                <w:color w:val="262626"/>
                <w:sz w:val="20"/>
                <w:szCs w:val="20"/>
                <w:lang w:val="en-GB"/>
              </w:rPr>
              <w:t>data on the property to the extent specified in Recommendation J on rules of collecting and processing data on real estate by banks, issued by Polish Financial Supervision Authority, as well as the value determi</w:t>
            </w:r>
            <w:r w:rsidR="00261694" w:rsidRPr="002F1201">
              <w:rPr>
                <w:color w:val="262626"/>
                <w:sz w:val="20"/>
                <w:szCs w:val="20"/>
                <w:lang w:val="en-GB"/>
              </w:rPr>
              <w:t>n</w:t>
            </w:r>
            <w:r w:rsidRPr="002F1201">
              <w:rPr>
                <w:color w:val="262626"/>
                <w:sz w:val="20"/>
                <w:szCs w:val="20"/>
                <w:lang w:val="en-GB"/>
              </w:rPr>
              <w:t>ed in the Report will be entered into the AMRON database</w:t>
            </w:r>
            <w:r w:rsidR="00261694" w:rsidRPr="002F1201">
              <w:rPr>
                <w:color w:val="262626"/>
                <w:sz w:val="20"/>
                <w:szCs w:val="20"/>
                <w:lang w:val="en-GB"/>
              </w:rPr>
              <w:t>,</w:t>
            </w:r>
            <w:r w:rsidRPr="002F1201">
              <w:rPr>
                <w:color w:val="262626"/>
                <w:sz w:val="20"/>
                <w:szCs w:val="20"/>
                <w:lang w:val="en-GB"/>
              </w:rPr>
              <w:t xml:space="preserve"> interbank, standardised database on real estate prices and values </w:t>
            </w:r>
            <w:r w:rsidR="00261694" w:rsidRPr="002F1201">
              <w:rPr>
                <w:color w:val="262626"/>
                <w:sz w:val="20"/>
                <w:szCs w:val="20"/>
                <w:lang w:val="en-GB"/>
              </w:rPr>
              <w:t>established by Polish Banks Association, and disclosed to entities participating in that AMRON System, i.</w:t>
            </w:r>
            <w:r w:rsidR="00702643">
              <w:rPr>
                <w:color w:val="262626"/>
                <w:sz w:val="20"/>
                <w:szCs w:val="20"/>
                <w:lang w:val="en-GB"/>
              </w:rPr>
              <w:t>a</w:t>
            </w:r>
            <w:r w:rsidR="00261694" w:rsidRPr="002F1201">
              <w:rPr>
                <w:color w:val="262626"/>
                <w:sz w:val="20"/>
                <w:szCs w:val="20"/>
                <w:lang w:val="en-GB"/>
              </w:rPr>
              <w:t>. banks</w:t>
            </w:r>
            <w:r w:rsidRPr="002F1201">
              <w:rPr>
                <w:color w:val="262626"/>
                <w:sz w:val="20"/>
                <w:szCs w:val="20"/>
                <w:lang w:val="en-GB"/>
              </w:rPr>
              <w:t>.</w:t>
            </w:r>
          </w:p>
          <w:p w14:paraId="4FBA5052" w14:textId="77777777" w:rsidR="00655645" w:rsidRPr="002F1201" w:rsidRDefault="00655645" w:rsidP="005A664D">
            <w:pPr>
              <w:pStyle w:val="Akapitzlist"/>
              <w:numPr>
                <w:ilvl w:val="0"/>
                <w:numId w:val="21"/>
              </w:numPr>
              <w:spacing w:before="40" w:after="0" w:line="240" w:lineRule="auto"/>
              <w:ind w:left="312" w:hanging="284"/>
              <w:contextualSpacing w:val="0"/>
              <w:jc w:val="both"/>
              <w:rPr>
                <w:color w:val="262626"/>
                <w:sz w:val="20"/>
                <w:szCs w:val="20"/>
                <w:lang w:val="en-GB"/>
              </w:rPr>
            </w:pPr>
            <w:r w:rsidRPr="002F1201">
              <w:rPr>
                <w:color w:val="262626"/>
                <w:sz w:val="20"/>
                <w:szCs w:val="20"/>
                <w:lang w:val="en-GB"/>
              </w:rPr>
              <w:t xml:space="preserve">On the basis of GDPR, you have the right: </w:t>
            </w:r>
          </w:p>
          <w:p w14:paraId="39A8270A" w14:textId="79BA8C13" w:rsidR="00655645" w:rsidRPr="002F1201" w:rsidRDefault="00655645" w:rsidP="00261694">
            <w:pPr>
              <w:pStyle w:val="Akapitzlist"/>
              <w:numPr>
                <w:ilvl w:val="0"/>
                <w:numId w:val="18"/>
              </w:numPr>
              <w:spacing w:before="20" w:after="0" w:line="240" w:lineRule="auto"/>
              <w:ind w:left="618" w:hanging="306"/>
              <w:contextualSpacing w:val="0"/>
              <w:jc w:val="both"/>
              <w:rPr>
                <w:color w:val="262626"/>
                <w:sz w:val="20"/>
                <w:szCs w:val="20"/>
                <w:lang w:val="en-GB"/>
              </w:rPr>
            </w:pPr>
            <w:r w:rsidRPr="002F1201">
              <w:rPr>
                <w:color w:val="262626"/>
                <w:sz w:val="20"/>
                <w:szCs w:val="20"/>
                <w:lang w:val="en-GB"/>
              </w:rPr>
              <w:t xml:space="preserve">to demand the access to your data, including a copy of your data processed by </w:t>
            </w:r>
            <w:r w:rsidR="00261694" w:rsidRPr="002F1201">
              <w:rPr>
                <w:color w:val="262626"/>
                <w:sz w:val="20"/>
                <w:szCs w:val="20"/>
                <w:lang w:val="en-GB"/>
              </w:rPr>
              <w:t>CPBiI</w:t>
            </w:r>
            <w:r w:rsidRPr="002F1201">
              <w:rPr>
                <w:color w:val="262626"/>
                <w:sz w:val="20"/>
                <w:szCs w:val="20"/>
                <w:lang w:val="en-GB"/>
              </w:rPr>
              <w:t xml:space="preserve">, as well as to request for rectification of inaccurate data, restriction of processing, data erasure or transmitting your data to another controller under conditions determined in GDPR; </w:t>
            </w:r>
          </w:p>
          <w:p w14:paraId="02EE8EE4" w14:textId="7423AE30" w:rsidR="00655645" w:rsidRPr="002F1201" w:rsidRDefault="00655645" w:rsidP="00261694">
            <w:pPr>
              <w:pStyle w:val="Akapitzlist"/>
              <w:numPr>
                <w:ilvl w:val="0"/>
                <w:numId w:val="18"/>
              </w:numPr>
              <w:spacing w:before="20" w:after="0" w:line="240" w:lineRule="auto"/>
              <w:ind w:left="618" w:hanging="306"/>
              <w:contextualSpacing w:val="0"/>
              <w:jc w:val="both"/>
              <w:rPr>
                <w:color w:val="262626"/>
                <w:sz w:val="20"/>
                <w:szCs w:val="20"/>
                <w:lang w:val="en-GB"/>
              </w:rPr>
            </w:pPr>
            <w:r w:rsidRPr="002F1201">
              <w:rPr>
                <w:color w:val="262626"/>
                <w:sz w:val="20"/>
                <w:szCs w:val="20"/>
                <w:lang w:val="en-GB"/>
              </w:rPr>
              <w:t>to object</w:t>
            </w:r>
            <w:r w:rsidRPr="002F1201">
              <w:rPr>
                <w:lang w:val="en-GB"/>
              </w:rPr>
              <w:t xml:space="preserve">, </w:t>
            </w:r>
            <w:r w:rsidRPr="002F1201">
              <w:rPr>
                <w:color w:val="262626"/>
                <w:sz w:val="20"/>
                <w:szCs w:val="20"/>
                <w:lang w:val="en-GB"/>
              </w:rPr>
              <w:t xml:space="preserve">on grounds relating to your particular situation, to processing of your personal by </w:t>
            </w:r>
            <w:r w:rsidR="00261694" w:rsidRPr="002F1201">
              <w:rPr>
                <w:color w:val="262626"/>
                <w:sz w:val="20"/>
                <w:szCs w:val="20"/>
                <w:lang w:val="en-GB"/>
              </w:rPr>
              <w:t>CPBiI</w:t>
            </w:r>
            <w:r w:rsidRPr="002F1201">
              <w:rPr>
                <w:color w:val="262626"/>
                <w:sz w:val="20"/>
                <w:szCs w:val="20"/>
                <w:lang w:val="en-GB"/>
              </w:rPr>
              <w:t xml:space="preserve"> for the purposes of the </w:t>
            </w:r>
            <w:r w:rsidR="00261694" w:rsidRPr="002F1201">
              <w:rPr>
                <w:color w:val="262626"/>
                <w:sz w:val="20"/>
                <w:szCs w:val="20"/>
                <w:lang w:val="en-GB"/>
              </w:rPr>
              <w:t>CPBiI’s</w:t>
            </w:r>
            <w:r w:rsidRPr="002F1201">
              <w:rPr>
                <w:color w:val="262626"/>
                <w:sz w:val="20"/>
                <w:szCs w:val="20"/>
                <w:lang w:val="en-GB"/>
              </w:rPr>
              <w:t xml:space="preserve"> legitimate interests – such an object should be submitted at </w:t>
            </w:r>
            <w:hyperlink r:id="rId9" w:history="1">
              <w:r w:rsidRPr="002F1201">
                <w:rPr>
                  <w:rStyle w:val="Hipercze"/>
                  <w:sz w:val="20"/>
                  <w:szCs w:val="20"/>
                  <w:lang w:val="en-GB"/>
                </w:rPr>
                <w:t>newsletter@amron.pl</w:t>
              </w:r>
            </w:hyperlink>
            <w:r w:rsidRPr="002F1201">
              <w:rPr>
                <w:color w:val="262626"/>
                <w:sz w:val="20"/>
                <w:szCs w:val="20"/>
                <w:lang w:val="en-GB"/>
              </w:rPr>
              <w:t xml:space="preserve">. After receiving an object, </w:t>
            </w:r>
            <w:r w:rsidR="00261694" w:rsidRPr="002F1201">
              <w:rPr>
                <w:color w:val="262626"/>
                <w:sz w:val="20"/>
                <w:szCs w:val="20"/>
                <w:lang w:val="en-GB"/>
              </w:rPr>
              <w:t>CPBiI</w:t>
            </w:r>
            <w:r w:rsidRPr="002F1201">
              <w:rPr>
                <w:color w:val="262626"/>
                <w:sz w:val="20"/>
                <w:szCs w:val="20"/>
                <w:lang w:val="en-GB"/>
              </w:rPr>
              <w:t xml:space="preserve"> will no longer process your personal data unless there are compelling legitimate grounds for the processing which override the interests, rights and freedoms of the data subject or for the establishment, exercise or defence of legal claims; </w:t>
            </w:r>
          </w:p>
          <w:p w14:paraId="77CED1CB" w14:textId="14EC75A8" w:rsidR="00A71C88" w:rsidRPr="002F1201" w:rsidRDefault="00655645" w:rsidP="00261694">
            <w:pPr>
              <w:pStyle w:val="Akapitzlist"/>
              <w:numPr>
                <w:ilvl w:val="0"/>
                <w:numId w:val="18"/>
              </w:numPr>
              <w:spacing w:before="20" w:after="0" w:line="240" w:lineRule="auto"/>
              <w:ind w:left="618" w:hanging="306"/>
              <w:contextualSpacing w:val="0"/>
              <w:jc w:val="both"/>
              <w:rPr>
                <w:color w:val="262626"/>
                <w:sz w:val="20"/>
                <w:szCs w:val="20"/>
                <w:lang w:val="en-GB"/>
              </w:rPr>
            </w:pPr>
            <w:r w:rsidRPr="002F1201">
              <w:rPr>
                <w:color w:val="262626"/>
                <w:sz w:val="20"/>
                <w:szCs w:val="20"/>
                <w:lang w:val="en-GB"/>
              </w:rPr>
              <w:t xml:space="preserve">to submit a complaint to the supervisory authority competent in the field of personal data protection, which is the President of the Personal Data Protection Office with its registered office at the address: ul. </w:t>
            </w:r>
            <w:proofErr w:type="spellStart"/>
            <w:r w:rsidRPr="002F1201">
              <w:rPr>
                <w:color w:val="262626"/>
                <w:sz w:val="20"/>
                <w:szCs w:val="20"/>
                <w:lang w:val="en-GB"/>
              </w:rPr>
              <w:t>Stawki</w:t>
            </w:r>
            <w:proofErr w:type="spellEnd"/>
            <w:r w:rsidRPr="002F1201">
              <w:rPr>
                <w:color w:val="262626"/>
                <w:sz w:val="20"/>
                <w:szCs w:val="20"/>
                <w:lang w:val="en-GB"/>
              </w:rPr>
              <w:t xml:space="preserve"> 2, </w:t>
            </w:r>
            <w:r w:rsidRPr="002F1201">
              <w:rPr>
                <w:color w:val="262626"/>
                <w:sz w:val="20"/>
                <w:szCs w:val="20"/>
                <w:lang w:val="en-GB"/>
              </w:rPr>
              <w:br/>
              <w:t xml:space="preserve">00-193 Warszawa, </w:t>
            </w:r>
            <w:hyperlink r:id="rId10" w:history="1">
              <w:r w:rsidRPr="002F1201">
                <w:rPr>
                  <w:rStyle w:val="Hipercze"/>
                  <w:sz w:val="20"/>
                  <w:szCs w:val="20"/>
                  <w:lang w:val="en-GB"/>
                </w:rPr>
                <w:t>www.uodo.gov.pl</w:t>
              </w:r>
            </w:hyperlink>
            <w:r w:rsidRPr="002F1201">
              <w:rPr>
                <w:color w:val="262626"/>
                <w:sz w:val="20"/>
                <w:szCs w:val="20"/>
                <w:lang w:val="en-GB"/>
              </w:rPr>
              <w:t>.</w:t>
            </w:r>
          </w:p>
        </w:tc>
      </w:tr>
      <w:tr w:rsidR="004C18E8" w:rsidRPr="002F1201" w14:paraId="7D2982AB" w14:textId="77777777" w:rsidTr="00C74388">
        <w:trPr>
          <w:gridAfter w:val="1"/>
          <w:wAfter w:w="170" w:type="dxa"/>
          <w:trHeight w:val="1096"/>
        </w:trPr>
        <w:tc>
          <w:tcPr>
            <w:tcW w:w="10349" w:type="dxa"/>
            <w:gridSpan w:val="5"/>
            <w:shd w:val="clear" w:color="auto" w:fill="F2F2F2" w:themeFill="background1" w:themeFillShade="F2"/>
          </w:tcPr>
          <w:p w14:paraId="2CB4A8EF" w14:textId="4AC5FB6B" w:rsidR="00261694" w:rsidRPr="002F1201" w:rsidRDefault="00261694" w:rsidP="00C74388">
            <w:pPr>
              <w:spacing w:after="20"/>
              <w:rPr>
                <w:rFonts w:ascii="Calibri" w:hAnsi="Calibri"/>
                <w:color w:val="262626"/>
                <w:sz w:val="20"/>
                <w:lang w:val="en-GB"/>
              </w:rPr>
            </w:pPr>
            <w:r w:rsidRPr="002F1201">
              <w:rPr>
                <w:rFonts w:ascii="Calibri" w:hAnsi="Calibri"/>
                <w:color w:val="262626"/>
                <w:sz w:val="20"/>
                <w:lang w:val="en-GB"/>
              </w:rPr>
              <w:t xml:space="preserve">Filled-in and signed form should be scanned and sent on e-mail address: </w:t>
            </w:r>
            <w:r w:rsidRPr="002F1201">
              <w:rPr>
                <w:rFonts w:ascii="Calibri" w:hAnsi="Calibri"/>
                <w:color w:val="C00000"/>
                <w:sz w:val="20"/>
                <w:lang w:val="en-GB"/>
              </w:rPr>
              <w:t>raport@amron.pl</w:t>
            </w:r>
            <w:r w:rsidRPr="002F1201">
              <w:rPr>
                <w:rFonts w:ascii="Calibri" w:hAnsi="Calibri"/>
                <w:color w:val="C00000"/>
                <w:sz w:val="21"/>
                <w:szCs w:val="21"/>
                <w:lang w:val="en-GB"/>
              </w:rPr>
              <w:t xml:space="preserve"> </w:t>
            </w:r>
            <w:r w:rsidRPr="002F1201">
              <w:rPr>
                <w:rFonts w:ascii="Calibri" w:hAnsi="Calibri"/>
                <w:color w:val="C00000"/>
                <w:sz w:val="21"/>
                <w:szCs w:val="21"/>
                <w:lang w:val="en-GB"/>
              </w:rPr>
              <w:br/>
            </w:r>
            <w:r w:rsidRPr="002F1201">
              <w:rPr>
                <w:rFonts w:ascii="Calibri" w:hAnsi="Calibri"/>
                <w:b/>
                <w:color w:val="262626"/>
                <w:sz w:val="20"/>
                <w:lang w:val="en-GB"/>
              </w:rPr>
              <w:t>NOTICE: due to personal data included in the form, please encrypt the file before sending it</w:t>
            </w:r>
            <w:r w:rsidRPr="002F1201">
              <w:rPr>
                <w:rFonts w:ascii="Calibri" w:hAnsi="Calibri"/>
                <w:color w:val="262626"/>
                <w:sz w:val="20"/>
                <w:lang w:val="en-GB"/>
              </w:rPr>
              <w:t>.</w:t>
            </w:r>
          </w:p>
          <w:p w14:paraId="18472A2B" w14:textId="503D4D58" w:rsidR="00261694" w:rsidRPr="002F1201" w:rsidRDefault="002B5687" w:rsidP="002B5687">
            <w:pPr>
              <w:rPr>
                <w:rFonts w:ascii="Calibri" w:hAnsi="Calibri"/>
                <w:color w:val="262626"/>
                <w:sz w:val="20"/>
                <w:lang w:val="en-GB"/>
              </w:rPr>
            </w:pPr>
            <w:r w:rsidRPr="002F1201">
              <w:rPr>
                <w:rFonts w:ascii="Calibri" w:hAnsi="Calibri"/>
                <w:color w:val="262626"/>
                <w:sz w:val="20"/>
                <w:lang w:val="en-GB"/>
              </w:rPr>
              <w:t xml:space="preserve">The Report is subject to prior payment of the full amount of the fee </w:t>
            </w:r>
            <w:r w:rsidR="00C74388" w:rsidRPr="002F1201">
              <w:rPr>
                <w:rFonts w:ascii="Calibri" w:hAnsi="Calibri"/>
                <w:color w:val="262626"/>
                <w:sz w:val="20"/>
                <w:lang w:val="en-GB"/>
              </w:rPr>
              <w:t xml:space="preserve">– </w:t>
            </w:r>
            <w:r w:rsidRPr="002F1201">
              <w:rPr>
                <w:rFonts w:ascii="Calibri" w:hAnsi="Calibri"/>
                <w:color w:val="262626"/>
                <w:sz w:val="20"/>
                <w:lang w:val="en-GB"/>
              </w:rPr>
              <w:t xml:space="preserve">information on price and bank account number will be provided to the Orderer after submitting the Order Form. In case of any questions please contact us at </w:t>
            </w:r>
            <w:r w:rsidR="00210041" w:rsidRPr="002F1201">
              <w:rPr>
                <w:rFonts w:ascii="Calibri" w:hAnsi="Calibri"/>
                <w:color w:val="C00000"/>
                <w:sz w:val="20"/>
                <w:lang w:val="en-GB"/>
              </w:rPr>
              <w:t>wycena@amron.pl</w:t>
            </w:r>
            <w:r w:rsidRPr="002F1201">
              <w:rPr>
                <w:rFonts w:ascii="Calibri" w:hAnsi="Calibri"/>
                <w:color w:val="262626"/>
                <w:sz w:val="20"/>
                <w:lang w:val="en-GB"/>
              </w:rPr>
              <w:t>.</w:t>
            </w:r>
          </w:p>
        </w:tc>
      </w:tr>
      <w:tr w:rsidR="00634D4A" w:rsidRPr="002F1201" w14:paraId="542EDFC4" w14:textId="77777777" w:rsidTr="00997478">
        <w:trPr>
          <w:gridAfter w:val="1"/>
          <w:wAfter w:w="170" w:type="dxa"/>
          <w:trHeight w:val="1100"/>
        </w:trPr>
        <w:tc>
          <w:tcPr>
            <w:tcW w:w="5104" w:type="dxa"/>
            <w:gridSpan w:val="2"/>
          </w:tcPr>
          <w:p w14:paraId="78EC3C5B" w14:textId="72DD7D87" w:rsidR="00634D4A" w:rsidRPr="002F1201" w:rsidRDefault="00261694" w:rsidP="00A908FA">
            <w:pPr>
              <w:spacing w:before="40"/>
              <w:rPr>
                <w:rFonts w:ascii="Calibri" w:hAnsi="Calibri"/>
                <w:bCs/>
                <w:color w:val="262626"/>
                <w:sz w:val="16"/>
                <w:szCs w:val="14"/>
                <w:lang w:val="en-GB"/>
              </w:rPr>
            </w:pPr>
            <w:r w:rsidRPr="002F1201">
              <w:rPr>
                <w:rFonts w:ascii="Calibri" w:hAnsi="Calibri"/>
                <w:bCs/>
                <w:color w:val="262626"/>
                <w:sz w:val="16"/>
                <w:szCs w:val="14"/>
                <w:lang w:val="en-GB"/>
              </w:rPr>
              <w:t>PLACE AND DATE</w:t>
            </w:r>
            <w:r w:rsidR="00634D4A" w:rsidRPr="002F1201">
              <w:rPr>
                <w:rFonts w:ascii="Calibri" w:hAnsi="Calibri"/>
                <w:bCs/>
                <w:color w:val="262626"/>
                <w:sz w:val="16"/>
                <w:szCs w:val="14"/>
                <w:lang w:val="en-GB"/>
              </w:rPr>
              <w:t>:</w:t>
            </w:r>
          </w:p>
          <w:p w14:paraId="02AC7279" w14:textId="77777777" w:rsidR="00C74388" w:rsidRPr="002F1201" w:rsidRDefault="00C74388" w:rsidP="00C74388">
            <w:pPr>
              <w:rPr>
                <w:rFonts w:asciiTheme="minorHAnsi" w:hAnsiTheme="minorHAnsi"/>
                <w:sz w:val="15"/>
                <w:szCs w:val="15"/>
                <w:lang w:val="en-GB"/>
              </w:rPr>
            </w:pPr>
          </w:p>
          <w:p w14:paraId="7EA40C55" w14:textId="77777777" w:rsidR="00C74388" w:rsidRPr="002F1201" w:rsidRDefault="00C74388" w:rsidP="00C74388">
            <w:pPr>
              <w:rPr>
                <w:rFonts w:asciiTheme="minorHAnsi" w:hAnsiTheme="minorHAnsi"/>
                <w:sz w:val="15"/>
                <w:szCs w:val="15"/>
                <w:lang w:val="en-GB"/>
              </w:rPr>
            </w:pPr>
          </w:p>
          <w:p w14:paraId="5E97660F" w14:textId="767A2511" w:rsidR="00C74388" w:rsidRPr="002F1201" w:rsidRDefault="00C74388" w:rsidP="00C74388">
            <w:pPr>
              <w:rPr>
                <w:rFonts w:asciiTheme="minorHAnsi" w:hAnsiTheme="minorHAnsi"/>
                <w:sz w:val="15"/>
                <w:szCs w:val="15"/>
                <w:lang w:val="en-GB"/>
              </w:rPr>
            </w:pPr>
          </w:p>
        </w:tc>
        <w:tc>
          <w:tcPr>
            <w:tcW w:w="5245" w:type="dxa"/>
            <w:gridSpan w:val="3"/>
          </w:tcPr>
          <w:p w14:paraId="713332C0" w14:textId="27796B51" w:rsidR="00634D4A" w:rsidRPr="002F1201" w:rsidRDefault="00261694" w:rsidP="00A908FA">
            <w:pPr>
              <w:spacing w:before="40"/>
              <w:rPr>
                <w:rFonts w:asciiTheme="minorHAnsi" w:hAnsiTheme="minorHAnsi"/>
                <w:sz w:val="15"/>
                <w:szCs w:val="15"/>
                <w:lang w:val="en-GB"/>
              </w:rPr>
            </w:pPr>
            <w:r w:rsidRPr="002F1201">
              <w:rPr>
                <w:rFonts w:ascii="Calibri" w:hAnsi="Calibri"/>
                <w:bCs/>
                <w:color w:val="262626"/>
                <w:sz w:val="16"/>
                <w:szCs w:val="14"/>
                <w:lang w:val="en-GB"/>
              </w:rPr>
              <w:t>STAMP AND SIGNATURE OF THE ORDERER</w:t>
            </w:r>
            <w:r w:rsidR="00634D4A" w:rsidRPr="002F1201">
              <w:rPr>
                <w:rFonts w:ascii="Calibri" w:hAnsi="Calibri"/>
                <w:bCs/>
                <w:color w:val="262626"/>
                <w:sz w:val="16"/>
                <w:szCs w:val="14"/>
                <w:lang w:val="en-GB"/>
              </w:rPr>
              <w:t>:</w:t>
            </w:r>
          </w:p>
        </w:tc>
      </w:tr>
    </w:tbl>
    <w:p w14:paraId="3C86CC2A" w14:textId="77777777" w:rsidR="00735476" w:rsidRPr="002F1201" w:rsidRDefault="00735476">
      <w:pPr>
        <w:rPr>
          <w:sz w:val="2"/>
          <w:szCs w:val="2"/>
          <w:lang w:val="en-GB"/>
        </w:rPr>
      </w:pPr>
    </w:p>
    <w:sectPr w:rsidR="00735476" w:rsidRPr="002F1201" w:rsidSect="00932900">
      <w:footerReference w:type="default" r:id="rId11"/>
      <w:pgSz w:w="11906" w:h="16838"/>
      <w:pgMar w:top="426" w:right="707" w:bottom="0" w:left="1417"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D462" w14:textId="77777777" w:rsidR="00E013A0" w:rsidRDefault="00E013A0" w:rsidP="005D451F">
      <w:r>
        <w:separator/>
      </w:r>
    </w:p>
  </w:endnote>
  <w:endnote w:type="continuationSeparator" w:id="0">
    <w:p w14:paraId="2D550200" w14:textId="77777777" w:rsidR="00E013A0" w:rsidRDefault="00E013A0" w:rsidP="005D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utch801 Rm LB2 BT">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9BAB" w14:textId="27204AC6" w:rsidR="005D451F" w:rsidRPr="00C74388" w:rsidRDefault="00261694" w:rsidP="00C74388">
    <w:pPr>
      <w:pStyle w:val="Stopka"/>
      <w:jc w:val="right"/>
      <w:rPr>
        <w:rFonts w:ascii="Calibri" w:hAnsi="Calibri"/>
        <w:sz w:val="18"/>
        <w:szCs w:val="18"/>
      </w:rPr>
    </w:pPr>
    <w:r w:rsidRPr="00261694">
      <w:rPr>
        <w:rFonts w:ascii="Calibri" w:hAnsi="Calibri"/>
        <w:sz w:val="18"/>
        <w:szCs w:val="18"/>
        <w:lang w:val="en-GB"/>
      </w:rPr>
      <w:t>page</w:t>
    </w:r>
    <w:r w:rsidR="00C74388" w:rsidRPr="00CC3A81">
      <w:rPr>
        <w:rFonts w:ascii="Calibri" w:hAnsi="Calibri"/>
        <w:sz w:val="18"/>
        <w:szCs w:val="18"/>
        <w:lang w:val="pl-PL"/>
      </w:rPr>
      <w:t xml:space="preserve"> </w:t>
    </w:r>
    <w:r w:rsidR="00C74388" w:rsidRPr="00CC3A81">
      <w:rPr>
        <w:rFonts w:ascii="Calibri" w:hAnsi="Calibri"/>
        <w:bCs/>
        <w:sz w:val="18"/>
        <w:szCs w:val="18"/>
      </w:rPr>
      <w:fldChar w:fldCharType="begin"/>
    </w:r>
    <w:r w:rsidR="00C74388" w:rsidRPr="00CC3A81">
      <w:rPr>
        <w:rFonts w:ascii="Calibri" w:hAnsi="Calibri"/>
        <w:bCs/>
        <w:sz w:val="18"/>
        <w:szCs w:val="18"/>
      </w:rPr>
      <w:instrText>PAGE</w:instrText>
    </w:r>
    <w:r w:rsidR="00C74388" w:rsidRPr="00CC3A81">
      <w:rPr>
        <w:rFonts w:ascii="Calibri" w:hAnsi="Calibri"/>
        <w:bCs/>
        <w:sz w:val="18"/>
        <w:szCs w:val="18"/>
      </w:rPr>
      <w:fldChar w:fldCharType="separate"/>
    </w:r>
    <w:r w:rsidR="00C74388">
      <w:rPr>
        <w:rFonts w:ascii="Calibri" w:hAnsi="Calibri"/>
        <w:bCs/>
        <w:sz w:val="18"/>
        <w:szCs w:val="18"/>
      </w:rPr>
      <w:t>1</w:t>
    </w:r>
    <w:r w:rsidR="00C74388" w:rsidRPr="00CC3A81">
      <w:rPr>
        <w:rFonts w:ascii="Calibri" w:hAnsi="Calibri"/>
        <w:bCs/>
        <w:sz w:val="18"/>
        <w:szCs w:val="18"/>
      </w:rPr>
      <w:fldChar w:fldCharType="end"/>
    </w:r>
    <w:r w:rsidR="00C74388" w:rsidRPr="00CC3A81">
      <w:rPr>
        <w:rFonts w:ascii="Calibri" w:hAnsi="Calibri"/>
        <w:sz w:val="18"/>
        <w:szCs w:val="18"/>
        <w:lang w:val="pl-PL"/>
      </w:rPr>
      <w:t xml:space="preserve"> </w:t>
    </w:r>
    <w:r>
      <w:rPr>
        <w:rFonts w:ascii="Calibri" w:hAnsi="Calibri"/>
        <w:sz w:val="18"/>
        <w:szCs w:val="18"/>
        <w:lang w:val="pl-PL"/>
      </w:rPr>
      <w:t>of</w:t>
    </w:r>
    <w:r w:rsidR="00C74388" w:rsidRPr="00CC3A81">
      <w:rPr>
        <w:rFonts w:ascii="Calibri" w:hAnsi="Calibri"/>
        <w:sz w:val="18"/>
        <w:szCs w:val="18"/>
        <w:lang w:val="pl-PL"/>
      </w:rPr>
      <w:t xml:space="preserve"> </w:t>
    </w:r>
    <w:r w:rsidR="00C74388" w:rsidRPr="00CC3A81">
      <w:rPr>
        <w:rFonts w:ascii="Calibri" w:hAnsi="Calibri"/>
        <w:bCs/>
        <w:sz w:val="18"/>
        <w:szCs w:val="18"/>
      </w:rPr>
      <w:fldChar w:fldCharType="begin"/>
    </w:r>
    <w:r w:rsidR="00C74388" w:rsidRPr="00CC3A81">
      <w:rPr>
        <w:rFonts w:ascii="Calibri" w:hAnsi="Calibri"/>
        <w:bCs/>
        <w:sz w:val="18"/>
        <w:szCs w:val="18"/>
      </w:rPr>
      <w:instrText>NUMPAGES</w:instrText>
    </w:r>
    <w:r w:rsidR="00C74388" w:rsidRPr="00CC3A81">
      <w:rPr>
        <w:rFonts w:ascii="Calibri" w:hAnsi="Calibri"/>
        <w:bCs/>
        <w:sz w:val="18"/>
        <w:szCs w:val="18"/>
      </w:rPr>
      <w:fldChar w:fldCharType="separate"/>
    </w:r>
    <w:r w:rsidR="00C74388">
      <w:rPr>
        <w:rFonts w:ascii="Calibri" w:hAnsi="Calibri"/>
        <w:bCs/>
        <w:sz w:val="18"/>
        <w:szCs w:val="18"/>
      </w:rPr>
      <w:t>2</w:t>
    </w:r>
    <w:r w:rsidR="00C74388" w:rsidRPr="00CC3A81">
      <w:rPr>
        <w:rFonts w:ascii="Calibri" w:hAnsi="Calibri"/>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3E30" w14:textId="77777777" w:rsidR="00E013A0" w:rsidRDefault="00E013A0" w:rsidP="005D451F">
      <w:r>
        <w:separator/>
      </w:r>
    </w:p>
  </w:footnote>
  <w:footnote w:type="continuationSeparator" w:id="0">
    <w:p w14:paraId="5A7EED79" w14:textId="77777777" w:rsidR="00E013A0" w:rsidRDefault="00E013A0" w:rsidP="005D4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E9E"/>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C5F6A"/>
    <w:multiLevelType w:val="hybridMultilevel"/>
    <w:tmpl w:val="E04C850E"/>
    <w:lvl w:ilvl="0" w:tplc="DA34990A">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40367F"/>
    <w:multiLevelType w:val="hybridMultilevel"/>
    <w:tmpl w:val="34589A66"/>
    <w:lvl w:ilvl="0" w:tplc="76DC66E2">
      <w:start w:val="1"/>
      <w:numFmt w:val="bullet"/>
      <w:lvlText w:val=""/>
      <w:lvlJc w:val="left"/>
      <w:pPr>
        <w:ind w:left="2154" w:hanging="360"/>
      </w:pPr>
      <w:rPr>
        <w:rFonts w:ascii="Symbol" w:hAnsi="Symbol"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3" w15:restartNumberingAfterBreak="0">
    <w:nsid w:val="15FD4A85"/>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03636"/>
    <w:multiLevelType w:val="hybridMultilevel"/>
    <w:tmpl w:val="16CA9B4A"/>
    <w:lvl w:ilvl="0" w:tplc="C4604C22">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2F717F5"/>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C105A7"/>
    <w:multiLevelType w:val="hybridMultilevel"/>
    <w:tmpl w:val="C4881C76"/>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15:restartNumberingAfterBreak="0">
    <w:nsid w:val="29FA16FD"/>
    <w:multiLevelType w:val="hybridMultilevel"/>
    <w:tmpl w:val="2C820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073D07"/>
    <w:multiLevelType w:val="hybridMultilevel"/>
    <w:tmpl w:val="F2DEC7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 w15:restartNumberingAfterBreak="0">
    <w:nsid w:val="2CFD2E66"/>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91175B"/>
    <w:multiLevelType w:val="hybridMultilevel"/>
    <w:tmpl w:val="4BCE841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 w15:restartNumberingAfterBreak="0">
    <w:nsid w:val="39E24549"/>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804081"/>
    <w:multiLevelType w:val="hybridMultilevel"/>
    <w:tmpl w:val="A8FA2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AC0874"/>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1C2DC5"/>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D20A24"/>
    <w:multiLevelType w:val="hybridMultilevel"/>
    <w:tmpl w:val="16F4F1A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 w15:restartNumberingAfterBreak="0">
    <w:nsid w:val="577C0522"/>
    <w:multiLevelType w:val="hybridMultilevel"/>
    <w:tmpl w:val="F2DEC7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60561C11"/>
    <w:multiLevelType w:val="hybridMultilevel"/>
    <w:tmpl w:val="FE92C11E"/>
    <w:lvl w:ilvl="0" w:tplc="0BECA7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BECA71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253680B"/>
    <w:multiLevelType w:val="hybridMultilevel"/>
    <w:tmpl w:val="4BCE841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9" w15:restartNumberingAfterBreak="0">
    <w:nsid w:val="63FC0C8A"/>
    <w:multiLevelType w:val="hybridMultilevel"/>
    <w:tmpl w:val="24E4A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2170DF"/>
    <w:multiLevelType w:val="hybridMultilevel"/>
    <w:tmpl w:val="B4A842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B4538C"/>
    <w:multiLevelType w:val="hybridMultilevel"/>
    <w:tmpl w:val="16F4F1A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6E9B7110"/>
    <w:multiLevelType w:val="hybridMultilevel"/>
    <w:tmpl w:val="4BCE841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 w15:restartNumberingAfterBreak="0">
    <w:nsid w:val="703C0A3E"/>
    <w:multiLevelType w:val="hybridMultilevel"/>
    <w:tmpl w:val="4BCE841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 w15:restartNumberingAfterBreak="0">
    <w:nsid w:val="766F4A37"/>
    <w:multiLevelType w:val="hybridMultilevel"/>
    <w:tmpl w:val="16F4F1A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 w15:restartNumberingAfterBreak="0">
    <w:nsid w:val="768E64A5"/>
    <w:multiLevelType w:val="hybridMultilevel"/>
    <w:tmpl w:val="F2DEC77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 w15:restartNumberingAfterBreak="0">
    <w:nsid w:val="7DCC4512"/>
    <w:multiLevelType w:val="hybridMultilevel"/>
    <w:tmpl w:val="54CEEB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
  </w:num>
  <w:num w:numId="3">
    <w:abstractNumId w:val="19"/>
  </w:num>
  <w:num w:numId="4">
    <w:abstractNumId w:val="7"/>
  </w:num>
  <w:num w:numId="5">
    <w:abstractNumId w:val="15"/>
  </w:num>
  <w:num w:numId="6">
    <w:abstractNumId w:val="22"/>
  </w:num>
  <w:num w:numId="7">
    <w:abstractNumId w:val="25"/>
  </w:num>
  <w:num w:numId="8">
    <w:abstractNumId w:val="8"/>
  </w:num>
  <w:num w:numId="9">
    <w:abstractNumId w:val="2"/>
  </w:num>
  <w:num w:numId="10">
    <w:abstractNumId w:val="6"/>
  </w:num>
  <w:num w:numId="11">
    <w:abstractNumId w:val="16"/>
  </w:num>
  <w:num w:numId="12">
    <w:abstractNumId w:val="14"/>
  </w:num>
  <w:num w:numId="13">
    <w:abstractNumId w:val="20"/>
  </w:num>
  <w:num w:numId="14">
    <w:abstractNumId w:val="13"/>
  </w:num>
  <w:num w:numId="15">
    <w:abstractNumId w:val="10"/>
  </w:num>
  <w:num w:numId="16">
    <w:abstractNumId w:val="18"/>
  </w:num>
  <w:num w:numId="17">
    <w:abstractNumId w:val="11"/>
  </w:num>
  <w:num w:numId="18">
    <w:abstractNumId w:val="23"/>
  </w:num>
  <w:num w:numId="19">
    <w:abstractNumId w:val="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3"/>
  </w:num>
  <w:num w:numId="24">
    <w:abstractNumId w:val="9"/>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8E8"/>
    <w:rsid w:val="0003658B"/>
    <w:rsid w:val="00073171"/>
    <w:rsid w:val="00163D77"/>
    <w:rsid w:val="001771B4"/>
    <w:rsid w:val="001D03BB"/>
    <w:rsid w:val="00210041"/>
    <w:rsid w:val="00226DA6"/>
    <w:rsid w:val="00261694"/>
    <w:rsid w:val="00284F72"/>
    <w:rsid w:val="002B5687"/>
    <w:rsid w:val="002F1201"/>
    <w:rsid w:val="003436B3"/>
    <w:rsid w:val="003676D1"/>
    <w:rsid w:val="00390B6D"/>
    <w:rsid w:val="0045373E"/>
    <w:rsid w:val="00466DFA"/>
    <w:rsid w:val="004C18E8"/>
    <w:rsid w:val="004E2650"/>
    <w:rsid w:val="00540D41"/>
    <w:rsid w:val="00586764"/>
    <w:rsid w:val="005A1F58"/>
    <w:rsid w:val="005A664D"/>
    <w:rsid w:val="005C0F49"/>
    <w:rsid w:val="005D451F"/>
    <w:rsid w:val="005E270B"/>
    <w:rsid w:val="00634D4A"/>
    <w:rsid w:val="00641D06"/>
    <w:rsid w:val="00655645"/>
    <w:rsid w:val="00680AEA"/>
    <w:rsid w:val="006936FE"/>
    <w:rsid w:val="00702643"/>
    <w:rsid w:val="00735476"/>
    <w:rsid w:val="007421AA"/>
    <w:rsid w:val="007B02AA"/>
    <w:rsid w:val="007F386A"/>
    <w:rsid w:val="008B6A02"/>
    <w:rsid w:val="008C3A45"/>
    <w:rsid w:val="00905BEF"/>
    <w:rsid w:val="009206E9"/>
    <w:rsid w:val="00932900"/>
    <w:rsid w:val="00963142"/>
    <w:rsid w:val="009956D2"/>
    <w:rsid w:val="00997478"/>
    <w:rsid w:val="009B6291"/>
    <w:rsid w:val="009C207D"/>
    <w:rsid w:val="00A42537"/>
    <w:rsid w:val="00A71C88"/>
    <w:rsid w:val="00A849EB"/>
    <w:rsid w:val="00AC6FEF"/>
    <w:rsid w:val="00B60A5B"/>
    <w:rsid w:val="00BA5F12"/>
    <w:rsid w:val="00C012F9"/>
    <w:rsid w:val="00C5050D"/>
    <w:rsid w:val="00C5053A"/>
    <w:rsid w:val="00C74388"/>
    <w:rsid w:val="00C7582F"/>
    <w:rsid w:val="00DA49F6"/>
    <w:rsid w:val="00DA6407"/>
    <w:rsid w:val="00DD125E"/>
    <w:rsid w:val="00E013A0"/>
    <w:rsid w:val="00EA5DEE"/>
    <w:rsid w:val="00EB3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D43C7"/>
  <w15:chartTrackingRefBased/>
  <w15:docId w15:val="{6A56821A-E2F8-439A-8A5C-19EB7C64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18E8"/>
    <w:pPr>
      <w:spacing w:after="0" w:line="240" w:lineRule="auto"/>
    </w:pPr>
    <w:rPr>
      <w:rFonts w:ascii="Dutch801 Rm LB2 BT" w:eastAsia="Times New Roman" w:hAnsi="Dutch801 Rm LB2 BT" w:cs="Times New Roman"/>
      <w:sz w:val="24"/>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rsid w:val="004C18E8"/>
    <w:rPr>
      <w:sz w:val="16"/>
      <w:szCs w:val="16"/>
    </w:rPr>
  </w:style>
  <w:style w:type="paragraph" w:styleId="Tekstkomentarza">
    <w:name w:val="annotation text"/>
    <w:basedOn w:val="Normalny"/>
    <w:link w:val="TekstkomentarzaZnak"/>
    <w:uiPriority w:val="99"/>
    <w:semiHidden/>
    <w:rsid w:val="004C18E8"/>
    <w:rPr>
      <w:sz w:val="20"/>
    </w:rPr>
  </w:style>
  <w:style w:type="character" w:customStyle="1" w:styleId="TekstkomentarzaZnak">
    <w:name w:val="Tekst komentarza Znak"/>
    <w:basedOn w:val="Domylnaczcionkaakapitu"/>
    <w:link w:val="Tekstkomentarza"/>
    <w:uiPriority w:val="99"/>
    <w:semiHidden/>
    <w:rsid w:val="004C18E8"/>
    <w:rPr>
      <w:rFonts w:ascii="Dutch801 Rm LB2 BT" w:eastAsia="Times New Roman" w:hAnsi="Dutch801 Rm LB2 BT" w:cs="Times New Roman"/>
      <w:sz w:val="20"/>
      <w:szCs w:val="20"/>
      <w:lang w:val="en-US"/>
    </w:rPr>
  </w:style>
  <w:style w:type="paragraph" w:styleId="Akapitzlist">
    <w:name w:val="List Paragraph"/>
    <w:aliases w:val="sw tekst"/>
    <w:basedOn w:val="Normalny"/>
    <w:link w:val="AkapitzlistZnak"/>
    <w:uiPriority w:val="34"/>
    <w:qFormat/>
    <w:rsid w:val="004C18E8"/>
    <w:pPr>
      <w:spacing w:after="200" w:line="276" w:lineRule="auto"/>
      <w:ind w:left="720"/>
      <w:contextualSpacing/>
    </w:pPr>
    <w:rPr>
      <w:rFonts w:ascii="Calibri" w:eastAsia="Calibri" w:hAnsi="Calibri"/>
      <w:sz w:val="22"/>
      <w:szCs w:val="22"/>
    </w:rPr>
  </w:style>
  <w:style w:type="character" w:customStyle="1" w:styleId="AkapitzlistZnak">
    <w:name w:val="Akapit z listą Znak"/>
    <w:aliases w:val="sw tekst Znak"/>
    <w:link w:val="Akapitzlist"/>
    <w:uiPriority w:val="34"/>
    <w:rsid w:val="004C18E8"/>
    <w:rPr>
      <w:rFonts w:ascii="Calibri" w:eastAsia="Calibri" w:hAnsi="Calibri" w:cs="Times New Roman"/>
      <w:lang w:val="en-US"/>
    </w:rPr>
  </w:style>
  <w:style w:type="character" w:styleId="Hipercze">
    <w:name w:val="Hyperlink"/>
    <w:uiPriority w:val="99"/>
    <w:unhideWhenUsed/>
    <w:rsid w:val="004C18E8"/>
    <w:rPr>
      <w:color w:val="0563C1"/>
      <w:u w:val="single"/>
    </w:rPr>
  </w:style>
  <w:style w:type="table" w:styleId="Tabela-Siatka">
    <w:name w:val="Table Grid"/>
    <w:basedOn w:val="Standardowy"/>
    <w:uiPriority w:val="39"/>
    <w:rsid w:val="004C18E8"/>
    <w:pPr>
      <w:spacing w:after="0" w:line="240" w:lineRule="auto"/>
    </w:pPr>
    <w:rPr>
      <w:rFonts w:ascii="CG Times" w:eastAsia="Times New Roman" w:hAnsi="CG 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C18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18E8"/>
    <w:rPr>
      <w:rFonts w:ascii="Segoe UI" w:eastAsia="Times New Roman" w:hAnsi="Segoe UI" w:cs="Segoe UI"/>
      <w:sz w:val="18"/>
      <w:szCs w:val="18"/>
      <w:lang w:val="en-US"/>
    </w:rPr>
  </w:style>
  <w:style w:type="paragraph" w:styleId="Nagwek">
    <w:name w:val="header"/>
    <w:basedOn w:val="Normalny"/>
    <w:link w:val="NagwekZnak"/>
    <w:uiPriority w:val="99"/>
    <w:unhideWhenUsed/>
    <w:rsid w:val="005D451F"/>
    <w:pPr>
      <w:tabs>
        <w:tab w:val="center" w:pos="4536"/>
        <w:tab w:val="right" w:pos="9072"/>
      </w:tabs>
    </w:pPr>
  </w:style>
  <w:style w:type="character" w:customStyle="1" w:styleId="NagwekZnak">
    <w:name w:val="Nagłówek Znak"/>
    <w:basedOn w:val="Domylnaczcionkaakapitu"/>
    <w:link w:val="Nagwek"/>
    <w:uiPriority w:val="99"/>
    <w:rsid w:val="005D451F"/>
    <w:rPr>
      <w:rFonts w:ascii="Dutch801 Rm LB2 BT" w:eastAsia="Times New Roman" w:hAnsi="Dutch801 Rm LB2 BT" w:cs="Times New Roman"/>
      <w:sz w:val="24"/>
      <w:szCs w:val="20"/>
      <w:lang w:val="en-US"/>
    </w:rPr>
  </w:style>
  <w:style w:type="paragraph" w:styleId="Stopka">
    <w:name w:val="footer"/>
    <w:basedOn w:val="Normalny"/>
    <w:link w:val="StopkaZnak"/>
    <w:unhideWhenUsed/>
    <w:rsid w:val="005D451F"/>
    <w:pPr>
      <w:tabs>
        <w:tab w:val="center" w:pos="4536"/>
        <w:tab w:val="right" w:pos="9072"/>
      </w:tabs>
    </w:pPr>
  </w:style>
  <w:style w:type="character" w:customStyle="1" w:styleId="StopkaZnak">
    <w:name w:val="Stopka Znak"/>
    <w:basedOn w:val="Domylnaczcionkaakapitu"/>
    <w:link w:val="Stopka"/>
    <w:rsid w:val="005D451F"/>
    <w:rPr>
      <w:rFonts w:ascii="Dutch801 Rm LB2 BT" w:eastAsia="Times New Roman" w:hAnsi="Dutch801 Rm LB2 BT" w:cs="Times New Roman"/>
      <w:sz w:val="24"/>
      <w:szCs w:val="20"/>
      <w:lang w:val="en-US"/>
    </w:rPr>
  </w:style>
  <w:style w:type="paragraph" w:customStyle="1" w:styleId="Tekstpodstawowy21">
    <w:name w:val="Tekst podstawowy 21"/>
    <w:basedOn w:val="Normalny"/>
    <w:rsid w:val="00A71C88"/>
    <w:pPr>
      <w:jc w:val="both"/>
    </w:pPr>
    <w:rPr>
      <w:rFonts w:ascii="Times New Roman" w:hAnsi="Times New Roman"/>
      <w:szCs w:val="24"/>
      <w:lang w:val="pl-PL" w:eastAsia="pl-PL"/>
    </w:rPr>
  </w:style>
  <w:style w:type="character" w:customStyle="1" w:styleId="WW-Absatz-Standardschriftart1">
    <w:name w:val="WW-Absatz-Standardschriftart1"/>
    <w:rsid w:val="00540D41"/>
  </w:style>
  <w:style w:type="paragraph" w:styleId="Tematkomentarza">
    <w:name w:val="annotation subject"/>
    <w:basedOn w:val="Tekstkomentarza"/>
    <w:next w:val="Tekstkomentarza"/>
    <w:link w:val="TematkomentarzaZnak"/>
    <w:uiPriority w:val="99"/>
    <w:semiHidden/>
    <w:unhideWhenUsed/>
    <w:rsid w:val="00540D41"/>
    <w:rPr>
      <w:b/>
      <w:bCs/>
    </w:rPr>
  </w:style>
  <w:style w:type="character" w:customStyle="1" w:styleId="TematkomentarzaZnak">
    <w:name w:val="Temat komentarza Znak"/>
    <w:basedOn w:val="TekstkomentarzaZnak"/>
    <w:link w:val="Tematkomentarza"/>
    <w:uiPriority w:val="99"/>
    <w:semiHidden/>
    <w:rsid w:val="00540D41"/>
    <w:rPr>
      <w:rFonts w:ascii="Dutch801 Rm LB2 BT" w:eastAsia="Times New Roman" w:hAnsi="Dutch801 Rm LB2 BT" w:cs="Times New Roman"/>
      <w:b/>
      <w:bCs/>
      <w:sz w:val="20"/>
      <w:szCs w:val="20"/>
      <w:lang w:val="en-US"/>
    </w:rPr>
  </w:style>
  <w:style w:type="character" w:styleId="Nierozpoznanawzmianka">
    <w:name w:val="Unresolved Mention"/>
    <w:basedOn w:val="Domylnaczcionkaakapitu"/>
    <w:uiPriority w:val="99"/>
    <w:semiHidden/>
    <w:unhideWhenUsed/>
    <w:rsid w:val="00C01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6495">
      <w:bodyDiv w:val="1"/>
      <w:marLeft w:val="0"/>
      <w:marRight w:val="0"/>
      <w:marTop w:val="0"/>
      <w:marBottom w:val="0"/>
      <w:divBdr>
        <w:top w:val="none" w:sz="0" w:space="0" w:color="auto"/>
        <w:left w:val="none" w:sz="0" w:space="0" w:color="auto"/>
        <w:bottom w:val="none" w:sz="0" w:space="0" w:color="auto"/>
        <w:right w:val="none" w:sz="0" w:space="0" w:color="auto"/>
      </w:divBdr>
      <w:divsChild>
        <w:div w:id="96677269">
          <w:marLeft w:val="0"/>
          <w:marRight w:val="0"/>
          <w:marTop w:val="0"/>
          <w:marBottom w:val="0"/>
          <w:divBdr>
            <w:top w:val="none" w:sz="0" w:space="0" w:color="auto"/>
            <w:left w:val="none" w:sz="0" w:space="0" w:color="auto"/>
            <w:bottom w:val="none" w:sz="0" w:space="0" w:color="auto"/>
            <w:right w:val="none" w:sz="0" w:space="0" w:color="auto"/>
          </w:divBdr>
        </w:div>
      </w:divsChild>
    </w:div>
    <w:div w:id="186209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pb.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odo.gov.pl" TargetMode="External"/><Relationship Id="rId4" Type="http://schemas.openxmlformats.org/officeDocument/2006/relationships/webSettings" Target="webSettings.xml"/><Relationship Id="rId9" Type="http://schemas.openxmlformats.org/officeDocument/2006/relationships/hyperlink" Target="mailto:newsletter@amro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1230</Words>
  <Characters>7383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Gołębiowska</dc:creator>
  <cp:keywords/>
  <dc:description/>
  <cp:lastModifiedBy>Agnieszka Gołębiowska-Cwenk</cp:lastModifiedBy>
  <cp:revision>6</cp:revision>
  <dcterms:created xsi:type="dcterms:W3CDTF">2021-09-28T15:26:00Z</dcterms:created>
  <dcterms:modified xsi:type="dcterms:W3CDTF">2021-09-29T09:04:00Z</dcterms:modified>
</cp:coreProperties>
</file>